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5EEF" w14:textId="7921B378" w:rsidR="00E46982" w:rsidRPr="002E0AE1" w:rsidRDefault="00D57641" w:rsidP="002E0AE1">
      <w:pPr>
        <w:pStyle w:val="Heading1"/>
        <w:spacing w:before="0" w:beforeAutospacing="0"/>
        <w:rPr>
          <w:rFonts w:ascii="Aptos Display" w:eastAsiaTheme="minorEastAsia" w:hAnsi="Aptos Display"/>
          <w:b w:val="0"/>
          <w:bCs/>
          <w:sz w:val="52"/>
          <w:szCs w:val="52"/>
          <w:lang w:eastAsia="en-AU"/>
        </w:rPr>
      </w:pPr>
      <w:r w:rsidRPr="002E0AE1">
        <w:rPr>
          <w:rFonts w:ascii="Aptos Display" w:eastAsiaTheme="minorEastAsia" w:hAnsi="Aptos Display"/>
          <w:b w:val="0"/>
          <w:bCs/>
          <w:sz w:val="52"/>
          <w:szCs w:val="52"/>
          <w:lang w:eastAsia="en-AU"/>
        </w:rPr>
        <w:t>O</w:t>
      </w:r>
      <w:r w:rsidR="00131575" w:rsidRPr="002E0AE1">
        <w:rPr>
          <w:rFonts w:ascii="Aptos Display" w:eastAsiaTheme="minorEastAsia" w:hAnsi="Aptos Display"/>
          <w:b w:val="0"/>
          <w:bCs/>
          <w:sz w:val="52"/>
          <w:szCs w:val="52"/>
          <w:lang w:eastAsia="en-AU"/>
        </w:rPr>
        <w:t>ffshore Greenhouse Gas Search Authority, Special Authority</w:t>
      </w:r>
      <w:r w:rsidR="006854C8" w:rsidRPr="002E0AE1">
        <w:rPr>
          <w:rFonts w:ascii="Aptos Display" w:eastAsiaTheme="minorEastAsia" w:hAnsi="Aptos Display"/>
          <w:b w:val="0"/>
          <w:bCs/>
          <w:sz w:val="52"/>
          <w:szCs w:val="52"/>
          <w:lang w:eastAsia="en-AU"/>
        </w:rPr>
        <w:t>,</w:t>
      </w:r>
      <w:r w:rsidR="00131575" w:rsidRPr="002E0AE1">
        <w:rPr>
          <w:rFonts w:ascii="Aptos Display" w:eastAsiaTheme="minorEastAsia" w:hAnsi="Aptos Display"/>
          <w:b w:val="0"/>
          <w:bCs/>
          <w:sz w:val="52"/>
          <w:szCs w:val="52"/>
          <w:lang w:eastAsia="en-AU"/>
        </w:rPr>
        <w:t xml:space="preserve"> and Research Consent</w:t>
      </w:r>
    </w:p>
    <w:p w14:paraId="7DDEF826" w14:textId="6B727BD2" w:rsidR="00E46982" w:rsidRDefault="00E46982" w:rsidP="005B3CFD">
      <w:pPr>
        <w:pBdr>
          <w:bottom w:val="single" w:sz="4" w:space="1" w:color="auto"/>
        </w:pBdr>
        <w:spacing w:before="120" w:beforeAutospacing="0" w:after="120" w:afterAutospacing="0"/>
        <w:rPr>
          <w:rFonts w:eastAsiaTheme="minorEastAsia"/>
          <w:lang w:eastAsia="en-AU"/>
        </w:rPr>
      </w:pPr>
      <w:r w:rsidRPr="00E46982">
        <w:rPr>
          <w:rFonts w:eastAsiaTheme="minorEastAsia"/>
          <w:lang w:eastAsia="en-AU"/>
        </w:rPr>
        <w:t xml:space="preserve">All fact sheets should be read in conjunction with the </w:t>
      </w:r>
      <w:hyperlink r:id="rId12" w:history="1">
        <w:r w:rsidRPr="00432937">
          <w:rPr>
            <w:rStyle w:val="Hyperlink"/>
            <w:rFonts w:eastAsiaTheme="minorEastAsia"/>
            <w:i/>
            <w:iCs/>
            <w:color w:val="0563C1"/>
            <w:lang w:eastAsia="en-AU"/>
          </w:rPr>
          <w:t>Offshore Petroleum and Greenhouse Gas Storage Act 2006</w:t>
        </w:r>
        <w:r w:rsidRPr="00432937">
          <w:rPr>
            <w:rStyle w:val="Hyperlink"/>
            <w:rFonts w:eastAsiaTheme="minorEastAsia"/>
            <w:i/>
            <w:iCs/>
            <w:lang w:eastAsia="en-AU"/>
          </w:rPr>
          <w:t xml:space="preserve"> </w:t>
        </w:r>
      </w:hyperlink>
      <w:r w:rsidRPr="00E46982">
        <w:rPr>
          <w:rFonts w:eastAsiaTheme="minorEastAsia"/>
          <w:lang w:eastAsia="en-AU"/>
        </w:rPr>
        <w:t>(</w:t>
      </w:r>
      <w:r w:rsidRPr="00E46982">
        <w:rPr>
          <w:rFonts w:eastAsiaTheme="minorEastAsia"/>
          <w:b/>
          <w:bCs/>
          <w:lang w:eastAsia="en-AU"/>
        </w:rPr>
        <w:t>the OPGGS Act</w:t>
      </w:r>
      <w:r w:rsidRPr="00E46982">
        <w:rPr>
          <w:rFonts w:eastAsiaTheme="minorEastAsia"/>
          <w:lang w:eastAsia="en-AU"/>
        </w:rPr>
        <w:t xml:space="preserve">), associated regulations, relevant guidelines and policies (available on </w:t>
      </w:r>
      <w:hyperlink r:id="rId13" w:history="1">
        <w:r w:rsidRPr="008F2264">
          <w:rPr>
            <w:rStyle w:val="Hyperlink"/>
            <w:rFonts w:eastAsiaTheme="minorEastAsia"/>
            <w:color w:val="0563C1"/>
            <w:lang w:eastAsia="en-AU"/>
          </w:rPr>
          <w:t>NOPTA’s website</w:t>
        </w:r>
      </w:hyperlink>
      <w:r w:rsidRPr="00E46982">
        <w:rPr>
          <w:rFonts w:eastAsiaTheme="minorEastAsia"/>
          <w:lang w:eastAsia="en-AU"/>
        </w:rPr>
        <w:t>).</w:t>
      </w:r>
    </w:p>
    <w:p w14:paraId="573A9509" w14:textId="77777777" w:rsidR="00D60312" w:rsidRDefault="00D60312" w:rsidP="00042C10">
      <w:pPr>
        <w:spacing w:before="120" w:beforeAutospacing="0" w:after="240" w:afterAutospacing="0"/>
        <w:rPr>
          <w:rFonts w:eastAsiaTheme="minorEastAsia"/>
          <w:lang w:eastAsia="en-AU"/>
        </w:rPr>
        <w:sectPr w:rsidR="00D60312" w:rsidSect="00E46982">
          <w:headerReference w:type="default" r:id="rId14"/>
          <w:footerReference w:type="default" r:id="rId15"/>
          <w:pgSz w:w="11906" w:h="16838"/>
          <w:pgMar w:top="2552" w:right="992" w:bottom="851" w:left="992" w:header="709" w:footer="283" w:gutter="0"/>
          <w:cols w:space="708"/>
          <w:docGrid w:linePitch="360"/>
        </w:sectPr>
      </w:pPr>
    </w:p>
    <w:p w14:paraId="13BF62B9" w14:textId="77777777" w:rsidR="00AE70D7" w:rsidRPr="00856AFC" w:rsidRDefault="00AE70D7" w:rsidP="00856AFC">
      <w:pPr>
        <w:pStyle w:val="Heading2"/>
      </w:pPr>
      <w:r w:rsidRPr="00856AFC">
        <w:t>Overview</w:t>
      </w:r>
    </w:p>
    <w:p w14:paraId="303AFEE4" w14:textId="77777777" w:rsidR="00AE70D7" w:rsidRPr="00AE70D7" w:rsidRDefault="00AE70D7" w:rsidP="005E6880">
      <w:pPr>
        <w:spacing w:before="120" w:beforeAutospacing="0" w:after="120" w:afterAutospacing="0"/>
        <w:rPr>
          <w:rFonts w:eastAsia="Times New Roman"/>
          <w:szCs w:val="24"/>
        </w:rPr>
      </w:pPr>
      <w:r w:rsidRPr="00AE70D7">
        <w:rPr>
          <w:rFonts w:eastAsia="Times New Roman"/>
          <w:szCs w:val="24"/>
        </w:rPr>
        <w:t xml:space="preserve">Parts 3.5, 3.6 and 3.7 of the </w:t>
      </w:r>
      <w:r w:rsidRPr="00AE70D7">
        <w:rPr>
          <w:rFonts w:eastAsia="Times New Roman"/>
          <w:iCs/>
          <w:szCs w:val="24"/>
        </w:rPr>
        <w:t>OPGGS Act</w:t>
      </w:r>
      <w:r w:rsidRPr="00AE70D7">
        <w:rPr>
          <w:rFonts w:eastAsia="Times New Roman"/>
          <w:szCs w:val="24"/>
        </w:rPr>
        <w:t xml:space="preserve"> provides for the grant of an offshore greenhouse gas (</w:t>
      </w:r>
      <w:r w:rsidRPr="00AE70D7">
        <w:rPr>
          <w:rFonts w:eastAsia="Times New Roman"/>
          <w:b/>
          <w:bCs/>
          <w:szCs w:val="24"/>
        </w:rPr>
        <w:t>GHG</w:t>
      </w:r>
      <w:r w:rsidRPr="00AE70D7">
        <w:rPr>
          <w:rFonts w:eastAsia="Times New Roman"/>
          <w:szCs w:val="24"/>
        </w:rPr>
        <w:t>) search authority (for applicants who wish to explore for potential GHG storage formations or sites), special authority (for GHG titleholders who wish to undertake activities outside of their title boundary), or research consent (scientific investigation).</w:t>
      </w:r>
    </w:p>
    <w:p w14:paraId="625146B2" w14:textId="77777777" w:rsidR="00AE70D7" w:rsidRPr="00AE70D7" w:rsidRDefault="00AE70D7" w:rsidP="005E6880">
      <w:pPr>
        <w:spacing w:before="120" w:beforeAutospacing="0" w:after="120" w:afterAutospacing="0"/>
        <w:rPr>
          <w:rFonts w:eastAsia="Times New Roman"/>
          <w:szCs w:val="24"/>
        </w:rPr>
      </w:pPr>
      <w:r w:rsidRPr="00AE70D7">
        <w:rPr>
          <w:rFonts w:eastAsia="Times New Roman"/>
          <w:szCs w:val="24"/>
        </w:rPr>
        <w:t>The responsible Commonwealth Minister (</w:t>
      </w:r>
      <w:r w:rsidRPr="00AE70D7">
        <w:rPr>
          <w:rFonts w:eastAsia="Times New Roman"/>
          <w:b/>
          <w:bCs/>
          <w:szCs w:val="24"/>
        </w:rPr>
        <w:t>RCM</w:t>
      </w:r>
      <w:r w:rsidRPr="00AE70D7">
        <w:rPr>
          <w:rFonts w:eastAsia="Times New Roman"/>
          <w:szCs w:val="24"/>
        </w:rPr>
        <w:t>) has the authority to grant GHG search authorities, special authorities and research consents subject to conditions the RCM thinks appropriate.</w:t>
      </w:r>
    </w:p>
    <w:p w14:paraId="6311FAA5" w14:textId="77777777" w:rsidR="00AE70D7" w:rsidRPr="005E6880" w:rsidRDefault="00AE70D7" w:rsidP="00856AFC">
      <w:pPr>
        <w:pStyle w:val="Heading2"/>
      </w:pPr>
      <w:r w:rsidRPr="005E6880">
        <w:t xml:space="preserve">GHG Search Authority </w:t>
      </w:r>
    </w:p>
    <w:p w14:paraId="43C97FEE" w14:textId="77777777" w:rsidR="00AE70D7" w:rsidRPr="00AE70D7" w:rsidRDefault="00AE70D7" w:rsidP="005E6880">
      <w:pPr>
        <w:spacing w:before="120" w:beforeAutospacing="0" w:after="120" w:afterAutospacing="0"/>
        <w:rPr>
          <w:rFonts w:eastAsia="Times New Roman"/>
          <w:szCs w:val="24"/>
        </w:rPr>
      </w:pPr>
      <w:r w:rsidRPr="00AE70D7">
        <w:rPr>
          <w:rFonts w:eastAsia="Times New Roman"/>
          <w:szCs w:val="24"/>
        </w:rPr>
        <w:t xml:space="preserve">A GHG search authority authorises the holder to undertake operations to explore for potential GHG storage formations and injection sites within the authority area (for example seismic surveys and seabed sampling). A search authority does not authorise the holder to make a well. </w:t>
      </w:r>
    </w:p>
    <w:p w14:paraId="243DAE32" w14:textId="77777777" w:rsidR="00AE70D7" w:rsidRPr="00AE70D7" w:rsidRDefault="00AE70D7" w:rsidP="005E6880">
      <w:pPr>
        <w:spacing w:before="120" w:beforeAutospacing="0" w:after="120" w:afterAutospacing="0"/>
        <w:rPr>
          <w:rFonts w:eastAsia="Times New Roman"/>
          <w:szCs w:val="24"/>
        </w:rPr>
      </w:pPr>
      <w:r w:rsidRPr="00AE70D7">
        <w:rPr>
          <w:rFonts w:eastAsia="Times New Roman"/>
          <w:szCs w:val="24"/>
        </w:rPr>
        <w:t xml:space="preserve">A GHG search authority application cannot include block(s) that have an existing GHG assessment permit, holding lease or injection licence or petroleum exploration permit retention lease or petroleum production licence in force. </w:t>
      </w:r>
    </w:p>
    <w:p w14:paraId="6D507ABE" w14:textId="77777777" w:rsidR="00AE70D7" w:rsidRPr="00AE70D7" w:rsidRDefault="00AE70D7" w:rsidP="005E6880">
      <w:pPr>
        <w:spacing w:before="120" w:beforeAutospacing="0" w:after="120" w:afterAutospacing="0"/>
        <w:rPr>
          <w:rFonts w:eastAsia="Times New Roman"/>
          <w:szCs w:val="24"/>
        </w:rPr>
      </w:pPr>
      <w:r w:rsidRPr="00AE70D7">
        <w:rPr>
          <w:rFonts w:eastAsia="Times New Roman"/>
          <w:szCs w:val="24"/>
        </w:rPr>
        <w:t xml:space="preserve">A GHG search authority comes into force on the day specified in the authority and remains in force for the period specified in the authority, not longer than 180 days. A search authority cannot be transferred (section 406 of the OPGGS Act) and there is no provision to extend the duration of the search authority (although a new application for a subsequent search authority is permitted). </w:t>
      </w:r>
    </w:p>
    <w:p w14:paraId="4381CF46" w14:textId="77777777" w:rsidR="00AE70D7" w:rsidRPr="00AE70D7" w:rsidRDefault="00AE70D7" w:rsidP="005E6880">
      <w:pPr>
        <w:spacing w:before="120" w:beforeAutospacing="0" w:after="120" w:afterAutospacing="0"/>
        <w:rPr>
          <w:rFonts w:eastAsia="Times New Roman"/>
          <w:szCs w:val="24"/>
        </w:rPr>
      </w:pPr>
      <w:r w:rsidRPr="00AE70D7">
        <w:rPr>
          <w:rFonts w:eastAsia="Times New Roman"/>
          <w:szCs w:val="24"/>
        </w:rPr>
        <w:t xml:space="preserve">Holders of a GHG search authority will be informed if another GHG search authority or petroleum special prospecting authority is granted with respect to any relevant block(s). </w:t>
      </w:r>
    </w:p>
    <w:p w14:paraId="65F97AD5" w14:textId="77777777" w:rsidR="00AE70D7" w:rsidRPr="005E6880" w:rsidRDefault="00AE70D7" w:rsidP="005D486F">
      <w:pPr>
        <w:pStyle w:val="Heading2"/>
        <w:spacing w:before="120"/>
      </w:pPr>
      <w:r w:rsidRPr="005E6880">
        <w:t xml:space="preserve">GHG Special Authority </w:t>
      </w:r>
    </w:p>
    <w:p w14:paraId="2EEA2561" w14:textId="77777777" w:rsidR="00AE70D7" w:rsidRPr="00AE70D7" w:rsidRDefault="00AE70D7" w:rsidP="00042C10">
      <w:pPr>
        <w:keepNext/>
        <w:keepLines/>
        <w:spacing w:before="120" w:beforeAutospacing="0" w:after="240" w:afterAutospacing="0"/>
        <w:rPr>
          <w:rFonts w:eastAsia="Times New Roman"/>
          <w:szCs w:val="24"/>
        </w:rPr>
      </w:pPr>
      <w:r w:rsidRPr="00AE70D7">
        <w:rPr>
          <w:rFonts w:eastAsia="Times New Roman"/>
          <w:szCs w:val="24"/>
        </w:rPr>
        <w:t xml:space="preserve">An applicant for a GHG special authority must be the holder of an existing GHG assessment permit, holding lease, injection licence or search authority (the originating title). </w:t>
      </w:r>
    </w:p>
    <w:p w14:paraId="67A8D892" w14:textId="77777777" w:rsidR="00AE70D7" w:rsidRPr="00AE70D7" w:rsidRDefault="00AE70D7" w:rsidP="00042C10">
      <w:pPr>
        <w:spacing w:before="120" w:beforeAutospacing="0" w:after="240" w:afterAutospacing="0"/>
        <w:rPr>
          <w:rFonts w:eastAsia="Times New Roman"/>
          <w:szCs w:val="24"/>
        </w:rPr>
      </w:pPr>
      <w:r w:rsidRPr="00AE70D7">
        <w:rPr>
          <w:rFonts w:eastAsia="Times New Roman"/>
          <w:szCs w:val="24"/>
        </w:rPr>
        <w:t xml:space="preserve">A GHG special authority authorises the holder to undertake operations which relate to GHG exploration, injection, storage or monitoring within the authority area. The operations authorised by a special authority must be related to the operations that are being carried on in the authority holder’s GHG assessment permit, holding lease, injection licence or search authority area. This may include carrying out operations in an area which is either part of that offshore area but outside the existing GHG assessment permit, holding lease, or injection licence area, or part of an adjoining offshore area. A GHG special authority does not authorise the holder to make a well. </w:t>
      </w:r>
    </w:p>
    <w:p w14:paraId="53894D2D" w14:textId="7A1EE8AD" w:rsidR="00AE70D7" w:rsidRPr="00AE70D7" w:rsidRDefault="00AE70D7" w:rsidP="00042C10">
      <w:pPr>
        <w:spacing w:before="120" w:beforeAutospacing="0" w:after="240" w:afterAutospacing="0"/>
        <w:rPr>
          <w:rFonts w:eastAsia="Times New Roman"/>
          <w:szCs w:val="24"/>
        </w:rPr>
      </w:pPr>
      <w:r w:rsidRPr="00AE70D7">
        <w:rPr>
          <w:rFonts w:eastAsia="Times New Roman"/>
          <w:szCs w:val="24"/>
        </w:rPr>
        <w:t>A GHG special authority comes into force on the day specified in the special authority and remains in force for the period specified in the authority</w:t>
      </w:r>
      <w:r w:rsidR="0095642A">
        <w:rPr>
          <w:rFonts w:eastAsia="Times New Roman"/>
          <w:szCs w:val="24"/>
        </w:rPr>
        <w:t xml:space="preserve"> (however it may be extended by the RCM</w:t>
      </w:r>
      <w:r w:rsidR="00877510">
        <w:rPr>
          <w:rFonts w:eastAsia="Times New Roman"/>
          <w:szCs w:val="24"/>
        </w:rPr>
        <w:t xml:space="preserve"> for a further specified period</w:t>
      </w:r>
      <w:r w:rsidR="00E07F33">
        <w:rPr>
          <w:rFonts w:eastAsia="Times New Roman"/>
          <w:szCs w:val="24"/>
        </w:rPr>
        <w:t xml:space="preserve"> see subsection 414(2) </w:t>
      </w:r>
      <w:r w:rsidR="004F4892">
        <w:rPr>
          <w:rFonts w:eastAsia="Times New Roman"/>
          <w:szCs w:val="24"/>
        </w:rPr>
        <w:t>of the OPGGS Act</w:t>
      </w:r>
      <w:r w:rsidR="00877510">
        <w:rPr>
          <w:rFonts w:eastAsia="Times New Roman"/>
          <w:szCs w:val="24"/>
        </w:rPr>
        <w:t>)</w:t>
      </w:r>
      <w:r w:rsidRPr="00AE70D7">
        <w:rPr>
          <w:rFonts w:eastAsia="Times New Roman"/>
          <w:szCs w:val="24"/>
        </w:rPr>
        <w:t xml:space="preserve">. If the entitlement to a special authority derives from a search authority the term of the special authority will be aligned with the search authority. </w:t>
      </w:r>
    </w:p>
    <w:p w14:paraId="5562A604" w14:textId="77777777" w:rsidR="00AE70D7" w:rsidRDefault="00AE70D7" w:rsidP="00042C10">
      <w:pPr>
        <w:spacing w:before="120" w:beforeAutospacing="0" w:after="240" w:afterAutospacing="0"/>
        <w:rPr>
          <w:rFonts w:eastAsia="Times New Roman"/>
          <w:szCs w:val="24"/>
        </w:rPr>
      </w:pPr>
      <w:r w:rsidRPr="00AE70D7">
        <w:rPr>
          <w:rFonts w:eastAsia="Times New Roman"/>
          <w:szCs w:val="24"/>
        </w:rPr>
        <w:t>A GHG special authority can be varied by the RCM by written notice. Consultation procedures apply if the RCM proposes to vary a GHG special authority (see section 419 of the OPGGS Act and Consultation section below).</w:t>
      </w:r>
    </w:p>
    <w:p w14:paraId="4487CC28" w14:textId="77777777" w:rsidR="00AE70D7" w:rsidRPr="00AE70D7" w:rsidRDefault="00AE70D7" w:rsidP="00856AFC">
      <w:pPr>
        <w:pStyle w:val="Heading2"/>
        <w:rPr>
          <w:rFonts w:cs="Times New Roman"/>
          <w:sz w:val="22"/>
          <w:szCs w:val="22"/>
        </w:rPr>
      </w:pPr>
      <w:r w:rsidRPr="005E6880">
        <w:t>GHG Research Consent</w:t>
      </w:r>
      <w:r w:rsidRPr="00AE70D7">
        <w:rPr>
          <w:rFonts w:cs="Times New Roman"/>
          <w:sz w:val="22"/>
          <w:szCs w:val="22"/>
        </w:rPr>
        <w:t xml:space="preserve"> </w:t>
      </w:r>
    </w:p>
    <w:p w14:paraId="28AFF92B" w14:textId="77777777" w:rsidR="00AE70D7" w:rsidRPr="00AE70D7" w:rsidRDefault="00AE70D7" w:rsidP="00042C10">
      <w:pPr>
        <w:spacing w:before="120" w:beforeAutospacing="0" w:after="240" w:afterAutospacing="0"/>
        <w:rPr>
          <w:rFonts w:eastAsia="Times New Roman"/>
          <w:color w:val="5F5F5F"/>
          <w:szCs w:val="24"/>
        </w:rPr>
      </w:pPr>
      <w:r w:rsidRPr="00AE70D7">
        <w:rPr>
          <w:rFonts w:eastAsia="Times New Roman"/>
          <w:szCs w:val="24"/>
        </w:rPr>
        <w:t xml:space="preserve">A GHG research consent authorises the holder of the consent to carry out operations relating to the exploration for potential GHG storage formation and injection sites, </w:t>
      </w:r>
      <w:proofErr w:type="gramStart"/>
      <w:r w:rsidRPr="00AE70D7">
        <w:rPr>
          <w:rFonts w:eastAsia="Times New Roman"/>
          <w:szCs w:val="24"/>
        </w:rPr>
        <w:t>in the course of</w:t>
      </w:r>
      <w:proofErr w:type="gramEnd"/>
      <w:r w:rsidRPr="00AE70D7">
        <w:rPr>
          <w:rFonts w:eastAsia="Times New Roman"/>
          <w:szCs w:val="24"/>
        </w:rPr>
        <w:t xml:space="preserve"> a scientific investigation. This recognises Australia's obligations under the United Nations Convention on the Law of the Sea (UNCLOS) to allow marine scientific research on its continental shelf (see</w:t>
      </w:r>
      <w:r w:rsidRPr="00AE70D7">
        <w:rPr>
          <w:rFonts w:eastAsia="Times New Roman"/>
          <w:color w:val="5F5F5F"/>
          <w:szCs w:val="24"/>
        </w:rPr>
        <w:t xml:space="preserve"> </w:t>
      </w:r>
      <w:hyperlink r:id="rId16" w:history="1">
        <w:r w:rsidRPr="00AE70D7">
          <w:rPr>
            <w:rFonts w:eastAsia="Times New Roman"/>
            <w:color w:val="0563C1"/>
            <w:szCs w:val="24"/>
            <w:u w:val="single"/>
          </w:rPr>
          <w:t>Article 246 of the UNCLOS</w:t>
        </w:r>
      </w:hyperlink>
      <w:r w:rsidRPr="00AE70D7">
        <w:rPr>
          <w:rFonts w:eastAsia="Times New Roman"/>
          <w:color w:val="5F5F5F"/>
          <w:szCs w:val="24"/>
        </w:rPr>
        <w:t xml:space="preserve">). </w:t>
      </w:r>
    </w:p>
    <w:p w14:paraId="01F6A9E9" w14:textId="77777777" w:rsidR="00AE70D7" w:rsidRPr="00AE70D7" w:rsidRDefault="00AE70D7" w:rsidP="00042C10">
      <w:pPr>
        <w:spacing w:before="120" w:beforeAutospacing="0" w:after="240" w:afterAutospacing="0"/>
        <w:rPr>
          <w:rFonts w:eastAsia="Times New Roman"/>
          <w:color w:val="5F5F5F"/>
          <w:szCs w:val="24"/>
        </w:rPr>
      </w:pPr>
      <w:r w:rsidRPr="00AE70D7">
        <w:rPr>
          <w:rFonts w:eastAsia="Times New Roman"/>
          <w:szCs w:val="24"/>
        </w:rPr>
        <w:lastRenderedPageBreak/>
        <w:t>A GHG research consent comes into force on the day specified in the consent and remains in force for the period specified in the consent. There is no provision to extend the duration of the consent</w:t>
      </w:r>
      <w:r w:rsidRPr="00AE70D7">
        <w:rPr>
          <w:rFonts w:eastAsia="Times New Roman"/>
          <w:color w:val="5F5F5F"/>
          <w:szCs w:val="24"/>
        </w:rPr>
        <w:t>.</w:t>
      </w:r>
    </w:p>
    <w:p w14:paraId="15D1F6F9" w14:textId="77777777" w:rsidR="00847E03" w:rsidRPr="00847E03" w:rsidRDefault="00847E03" w:rsidP="00856AFC">
      <w:pPr>
        <w:pStyle w:val="Heading2"/>
        <w:rPr>
          <w:color w:val="385623"/>
          <w:szCs w:val="22"/>
        </w:rPr>
      </w:pPr>
      <w:r w:rsidRPr="005E6880">
        <w:t>Consultation</w:t>
      </w:r>
      <w:r w:rsidRPr="00847E03">
        <w:rPr>
          <w:color w:val="385623"/>
          <w:szCs w:val="22"/>
        </w:rPr>
        <w:t xml:space="preserve"> </w:t>
      </w:r>
    </w:p>
    <w:p w14:paraId="32FC6A07" w14:textId="77777777" w:rsidR="00847E03" w:rsidRPr="00847E03" w:rsidRDefault="00847E03" w:rsidP="005E6880">
      <w:pPr>
        <w:spacing w:before="120" w:beforeAutospacing="0" w:after="120" w:afterAutospacing="0"/>
        <w:rPr>
          <w:rFonts w:eastAsia="Times New Roman"/>
          <w:szCs w:val="24"/>
        </w:rPr>
      </w:pPr>
      <w:r w:rsidRPr="00847E03">
        <w:rPr>
          <w:rFonts w:eastAsia="Times New Roman"/>
          <w:szCs w:val="24"/>
        </w:rPr>
        <w:t xml:space="preserve">Applicants for a GHG search authority, GHG special authority, or GHG research consent over areas not subject to an existing offshore title (e.g. vacant acreage) should provide evidence of consultation undertaken with relevant Commonwealth agencies and stakeholders. </w:t>
      </w:r>
    </w:p>
    <w:p w14:paraId="187C5188" w14:textId="77777777" w:rsidR="00847E03" w:rsidRPr="00847E03" w:rsidRDefault="00847E03" w:rsidP="005E6880">
      <w:pPr>
        <w:spacing w:before="120" w:beforeAutospacing="0" w:after="120" w:afterAutospacing="0"/>
        <w:rPr>
          <w:rFonts w:eastAsia="Times New Roman"/>
          <w:szCs w:val="24"/>
        </w:rPr>
      </w:pPr>
      <w:r w:rsidRPr="00847E03">
        <w:rPr>
          <w:rFonts w:eastAsia="Times New Roman"/>
          <w:szCs w:val="24"/>
        </w:rPr>
        <w:t>If the applicant has completed consultation as part of an Environment Plan process under the</w:t>
      </w:r>
      <w:r w:rsidRPr="00847E03">
        <w:rPr>
          <w:rFonts w:eastAsia="Times New Roman"/>
          <w:color w:val="5F5F5F"/>
          <w:szCs w:val="24"/>
        </w:rPr>
        <w:t xml:space="preserve"> </w:t>
      </w:r>
      <w:hyperlink r:id="rId17" w:history="1">
        <w:r w:rsidRPr="00847E03">
          <w:rPr>
            <w:rFonts w:eastAsia="Times New Roman"/>
            <w:i/>
            <w:iCs/>
            <w:color w:val="0563C1"/>
            <w:szCs w:val="24"/>
            <w:u w:val="single"/>
          </w:rPr>
          <w:t>Offshore Petroleum and Greenhouse Gas Storage (Environment) Regulations 2023</w:t>
        </w:r>
      </w:hyperlink>
      <w:r w:rsidRPr="00847E03">
        <w:rPr>
          <w:rFonts w:eastAsia="Times New Roman"/>
          <w:color w:val="5F5F5F"/>
          <w:szCs w:val="24"/>
        </w:rPr>
        <w:t xml:space="preserve"> </w:t>
      </w:r>
      <w:r w:rsidRPr="00847E03">
        <w:rPr>
          <w:rFonts w:eastAsia="Times New Roman"/>
          <w:szCs w:val="24"/>
        </w:rPr>
        <w:t xml:space="preserve">applicants should provide a copy of the consultation and a response table with the application. </w:t>
      </w:r>
    </w:p>
    <w:p w14:paraId="745090B7" w14:textId="77777777" w:rsidR="00847E03" w:rsidRPr="00847E03" w:rsidRDefault="00847E03" w:rsidP="005E6880">
      <w:pPr>
        <w:spacing w:before="120" w:beforeAutospacing="0" w:after="120" w:afterAutospacing="0"/>
        <w:rPr>
          <w:rFonts w:eastAsia="Times New Roman"/>
          <w:szCs w:val="24"/>
        </w:rPr>
      </w:pPr>
      <w:r w:rsidRPr="00847E03">
        <w:rPr>
          <w:rFonts w:eastAsia="Times New Roman"/>
          <w:szCs w:val="24"/>
        </w:rPr>
        <w:t xml:space="preserve">Consultation responses may be used to determine if conditions are required to be placed on the authority or consent at the time of grant. </w:t>
      </w:r>
    </w:p>
    <w:p w14:paraId="51CCB32B" w14:textId="77777777" w:rsidR="00847E03" w:rsidRPr="00847E03" w:rsidRDefault="00847E03" w:rsidP="005E6880">
      <w:pPr>
        <w:spacing w:before="120" w:beforeAutospacing="0" w:after="120" w:afterAutospacing="0"/>
        <w:rPr>
          <w:rFonts w:eastAsia="Times New Roman"/>
          <w:color w:val="5F5F5F"/>
          <w:szCs w:val="24"/>
        </w:rPr>
      </w:pPr>
      <w:r w:rsidRPr="00847E03">
        <w:rPr>
          <w:rFonts w:eastAsia="Times New Roman"/>
          <w:szCs w:val="24"/>
        </w:rPr>
        <w:t>When applying for a GHG special authority over an area that is subject to a GHG assessment permit, holding lease, injection licence or GHG search authority held by a third party, applicants should seek the written consent of that party for the grant of the GHG special authority over its title area. If such consent is provided with an application this can significantly reduce assessment timeframes</w:t>
      </w:r>
      <w:r w:rsidRPr="00847E03">
        <w:rPr>
          <w:rFonts w:eastAsia="Times New Roman"/>
          <w:color w:val="5F5F5F"/>
          <w:szCs w:val="24"/>
        </w:rPr>
        <w:t xml:space="preserve">. </w:t>
      </w:r>
    </w:p>
    <w:p w14:paraId="350247AC" w14:textId="1E8C36C3" w:rsidR="00847E03" w:rsidRPr="00847E03" w:rsidRDefault="00847E03" w:rsidP="00856AFC">
      <w:pPr>
        <w:pStyle w:val="Heading2"/>
        <w:rPr>
          <w:color w:val="385623"/>
          <w:szCs w:val="22"/>
        </w:rPr>
      </w:pPr>
      <w:r w:rsidRPr="005E6880">
        <w:t>Reporting</w:t>
      </w:r>
      <w:r w:rsidRPr="00847E03">
        <w:rPr>
          <w:color w:val="385623"/>
          <w:szCs w:val="22"/>
        </w:rPr>
        <w:t xml:space="preserve"> </w:t>
      </w:r>
    </w:p>
    <w:p w14:paraId="33845D2A" w14:textId="77D54A21" w:rsidR="00847E03" w:rsidRPr="00847E03" w:rsidRDefault="00847E03" w:rsidP="005E6880">
      <w:pPr>
        <w:spacing w:before="120" w:beforeAutospacing="0" w:after="120" w:afterAutospacing="0"/>
        <w:rPr>
          <w:rFonts w:eastAsia="Times New Roman"/>
          <w:color w:val="5F5F5F"/>
          <w:szCs w:val="24"/>
        </w:rPr>
      </w:pPr>
      <w:r w:rsidRPr="00847E03">
        <w:rPr>
          <w:rFonts w:eastAsia="Times New Roman"/>
          <w:szCs w:val="24"/>
        </w:rPr>
        <w:t>Holders of GHG search authorities, GHG special authorities or GHG research consents should be aware of the reporting requirements for GHG titles in the</w:t>
      </w:r>
      <w:r w:rsidRPr="00847E03">
        <w:rPr>
          <w:rFonts w:eastAsia="Times New Roman"/>
          <w:color w:val="5F5F5F"/>
          <w:szCs w:val="24"/>
        </w:rPr>
        <w:t xml:space="preserve"> </w:t>
      </w:r>
      <w:r w:rsidR="00FC695E">
        <w:rPr>
          <w:rFonts w:eastAsia="Times New Roman"/>
          <w:i/>
          <w:iCs/>
          <w:color w:val="0563C1"/>
          <w:szCs w:val="24"/>
          <w:u w:val="single"/>
        </w:rPr>
        <w:t xml:space="preserve"> </w:t>
      </w:r>
      <w:hyperlink r:id="rId18" w:history="1">
        <w:r w:rsidR="00086249" w:rsidRPr="00FC695E">
          <w:rPr>
            <w:rStyle w:val="Hyperlink"/>
            <w:rFonts w:eastAsia="Times New Roman"/>
            <w:i/>
            <w:iCs/>
            <w:szCs w:val="24"/>
          </w:rPr>
          <w:t>Offshore Petroleum Greenhouse Gas Storage (Resource Management and Administration) Regulations 20</w:t>
        </w:r>
        <w:r w:rsidR="00585BB9" w:rsidRPr="00FC695E">
          <w:rPr>
            <w:rStyle w:val="Hyperlink"/>
            <w:rFonts w:eastAsia="Times New Roman"/>
            <w:i/>
            <w:iCs/>
            <w:szCs w:val="24"/>
          </w:rPr>
          <w:t>25</w:t>
        </w:r>
      </w:hyperlink>
      <w:r w:rsidRPr="00847E03">
        <w:rPr>
          <w:rFonts w:eastAsia="Times New Roman"/>
          <w:color w:val="5F5F5F"/>
          <w:szCs w:val="24"/>
        </w:rPr>
        <w:t xml:space="preserve">. </w:t>
      </w:r>
    </w:p>
    <w:p w14:paraId="77F6D944" w14:textId="4E41DD28" w:rsidR="00847E03" w:rsidRPr="00847E03" w:rsidRDefault="00847E03" w:rsidP="005E6880">
      <w:pPr>
        <w:spacing w:before="120" w:beforeAutospacing="0" w:after="120" w:afterAutospacing="0"/>
        <w:rPr>
          <w:rFonts w:eastAsia="Times New Roman"/>
          <w:color w:val="5F5F5F"/>
          <w:szCs w:val="24"/>
        </w:rPr>
      </w:pPr>
      <w:r w:rsidRPr="00847E03">
        <w:rPr>
          <w:rFonts w:eastAsia="Times New Roman"/>
          <w:szCs w:val="24"/>
        </w:rPr>
        <w:t xml:space="preserve">Note: where the grant of a special authority authorises activities over a GHG assessment permit, holding lease, </w:t>
      </w:r>
      <w:r w:rsidR="00B9791B" w:rsidRPr="00847E03">
        <w:rPr>
          <w:rFonts w:eastAsia="Times New Roman"/>
          <w:szCs w:val="24"/>
        </w:rPr>
        <w:t>or injection</w:t>
      </w:r>
      <w:r w:rsidRPr="00847E03">
        <w:rPr>
          <w:rFonts w:eastAsia="Times New Roman"/>
          <w:szCs w:val="24"/>
        </w:rPr>
        <w:t xml:space="preserve"> licence held by a third party, the authority holder must comply with subsection 420(1) of the OPGGS Act relating to reporting obligations to third parties</w:t>
      </w:r>
      <w:r w:rsidRPr="00847E03">
        <w:rPr>
          <w:rFonts w:eastAsia="Times New Roman"/>
          <w:color w:val="5F5F5F"/>
          <w:szCs w:val="24"/>
        </w:rPr>
        <w:t xml:space="preserve">. </w:t>
      </w:r>
    </w:p>
    <w:p w14:paraId="53F9EAB5" w14:textId="77777777" w:rsidR="00847E03" w:rsidRPr="005E6880" w:rsidRDefault="00847E03" w:rsidP="00856AFC">
      <w:pPr>
        <w:pStyle w:val="Heading2"/>
      </w:pPr>
      <w:r w:rsidRPr="005E6880">
        <w:t xml:space="preserve">Timing of applications </w:t>
      </w:r>
    </w:p>
    <w:p w14:paraId="35ADF5E6" w14:textId="77777777" w:rsidR="00847E03" w:rsidRPr="00847E03" w:rsidRDefault="00847E03" w:rsidP="00042C10">
      <w:pPr>
        <w:spacing w:before="120" w:beforeAutospacing="0" w:after="240" w:afterAutospacing="0"/>
        <w:rPr>
          <w:rFonts w:eastAsia="Times New Roman"/>
          <w:szCs w:val="24"/>
        </w:rPr>
      </w:pPr>
      <w:r w:rsidRPr="00847E03">
        <w:rPr>
          <w:rFonts w:eastAsia="Times New Roman"/>
          <w:szCs w:val="24"/>
        </w:rPr>
        <w:t>For GHG research consents, early engagement with NOPTA is recommended to discuss the application process prior to submitting.</w:t>
      </w:r>
    </w:p>
    <w:p w14:paraId="6DBF51B8" w14:textId="77777777" w:rsidR="00847E03" w:rsidRPr="00847E03" w:rsidRDefault="00847E03" w:rsidP="005E6880">
      <w:pPr>
        <w:keepLines/>
        <w:spacing w:before="120" w:beforeAutospacing="0" w:after="120" w:afterAutospacing="0"/>
        <w:rPr>
          <w:rFonts w:eastAsia="Times New Roman"/>
          <w:szCs w:val="24"/>
        </w:rPr>
      </w:pPr>
      <w:r w:rsidRPr="00847E03">
        <w:rPr>
          <w:rFonts w:eastAsia="Times New Roman"/>
          <w:szCs w:val="24"/>
        </w:rPr>
        <w:t xml:space="preserve">It is recommended that GHG search and GHG special authority applications be submitted at least three months prior to the intended commencement date to allow sufficient time for assessment/approval of the application. Any requests for further information may impact the timeliness of approvals. </w:t>
      </w:r>
    </w:p>
    <w:p w14:paraId="5FAEDF87" w14:textId="4C89CA99" w:rsidR="00847E03" w:rsidRPr="00847E03" w:rsidRDefault="00847E03" w:rsidP="005E6880">
      <w:pPr>
        <w:spacing w:before="120" w:beforeAutospacing="0" w:after="120" w:afterAutospacing="0"/>
        <w:rPr>
          <w:rFonts w:eastAsia="Times New Roman"/>
          <w:color w:val="5F5F5F"/>
          <w:szCs w:val="24"/>
          <w:lang w:val="en-US"/>
        </w:rPr>
      </w:pPr>
      <w:r w:rsidRPr="00847E03">
        <w:rPr>
          <w:rFonts w:eastAsia="Times New Roman"/>
          <w:szCs w:val="24"/>
        </w:rPr>
        <w:t>Delays to processing times can be avoided by using the</w:t>
      </w:r>
      <w:r w:rsidRPr="00847E03">
        <w:rPr>
          <w:rFonts w:eastAsia="Times New Roman"/>
          <w:color w:val="5F5F5F"/>
          <w:szCs w:val="24"/>
          <w:lang w:val="en-US"/>
        </w:rPr>
        <w:t xml:space="preserve"> </w:t>
      </w:r>
      <w:r w:rsidR="00FD0ABA">
        <w:t xml:space="preserve">related forms guidance available on </w:t>
      </w:r>
      <w:hyperlink r:id="rId19" w:history="1">
        <w:r w:rsidR="00FD0ABA" w:rsidRPr="00431F5A">
          <w:rPr>
            <w:rStyle w:val="Hyperlink"/>
          </w:rPr>
          <w:t>NOPTA’s website</w:t>
        </w:r>
      </w:hyperlink>
      <w:r w:rsidRPr="00847E03">
        <w:rPr>
          <w:rFonts w:eastAsia="Times New Roman"/>
          <w:color w:val="5F5F5F"/>
          <w:szCs w:val="24"/>
          <w:lang w:val="en-US"/>
        </w:rPr>
        <w:t>.</w:t>
      </w:r>
    </w:p>
    <w:p w14:paraId="52C2163C" w14:textId="77777777" w:rsidR="00847E03" w:rsidRPr="005E6880" w:rsidRDefault="00847E03" w:rsidP="00856AFC">
      <w:pPr>
        <w:pStyle w:val="Heading2"/>
      </w:pPr>
      <w:r w:rsidRPr="005E6880">
        <w:t xml:space="preserve">How do I apply? </w:t>
      </w:r>
    </w:p>
    <w:p w14:paraId="7ADBCD9E" w14:textId="77777777" w:rsidR="00847E03" w:rsidRPr="00847E03" w:rsidRDefault="00847E03" w:rsidP="005E6880">
      <w:pPr>
        <w:spacing w:before="120" w:beforeAutospacing="0" w:after="120" w:afterAutospacing="0"/>
        <w:rPr>
          <w:rFonts w:eastAsia="Times New Roman"/>
          <w:color w:val="5F5F5F"/>
          <w:szCs w:val="24"/>
        </w:rPr>
      </w:pPr>
      <w:r w:rsidRPr="00847E03">
        <w:rPr>
          <w:rFonts w:eastAsia="Times New Roman"/>
          <w:szCs w:val="24"/>
        </w:rPr>
        <w:t>Applicants can apply in writing to NOPTA at:</w:t>
      </w:r>
      <w:r w:rsidRPr="00847E03">
        <w:rPr>
          <w:rFonts w:eastAsia="Times New Roman"/>
          <w:color w:val="5F5F5F"/>
          <w:szCs w:val="24"/>
        </w:rPr>
        <w:t xml:space="preserve"> </w:t>
      </w:r>
      <w:hyperlink r:id="rId20" w:history="1">
        <w:r w:rsidRPr="00847E03">
          <w:rPr>
            <w:rFonts w:eastAsia="Times New Roman"/>
            <w:color w:val="0563C1"/>
            <w:szCs w:val="24"/>
            <w:u w:val="single"/>
          </w:rPr>
          <w:t>ghg@nopta.gov.au</w:t>
        </w:r>
      </w:hyperlink>
      <w:r w:rsidRPr="00847E03">
        <w:rPr>
          <w:rFonts w:eastAsia="Times New Roman"/>
          <w:color w:val="5F5F5F"/>
          <w:szCs w:val="24"/>
        </w:rPr>
        <w:t xml:space="preserve">. </w:t>
      </w:r>
    </w:p>
    <w:p w14:paraId="5D6C0DB9" w14:textId="28816984" w:rsidR="00847E03" w:rsidRPr="00847E03" w:rsidRDefault="00847E03" w:rsidP="005E6880">
      <w:pPr>
        <w:spacing w:before="120" w:beforeAutospacing="0" w:after="120" w:afterAutospacing="0"/>
        <w:rPr>
          <w:rFonts w:eastAsia="Times New Roman"/>
          <w:color w:val="5F5F5F"/>
          <w:szCs w:val="24"/>
        </w:rPr>
      </w:pPr>
      <w:r w:rsidRPr="00847E03">
        <w:rPr>
          <w:rFonts w:eastAsia="Times New Roman"/>
          <w:color w:val="5F5F5F"/>
          <w:szCs w:val="24"/>
        </w:rPr>
        <w:t>A</w:t>
      </w:r>
      <w:r w:rsidRPr="00847E03">
        <w:rPr>
          <w:rFonts w:eastAsia="Times New Roman"/>
          <w:szCs w:val="24"/>
        </w:rPr>
        <w:t>pplication forms are available on</w:t>
      </w:r>
      <w:r w:rsidRPr="00847E03">
        <w:rPr>
          <w:rFonts w:eastAsia="Times New Roman"/>
          <w:color w:val="5F5F5F"/>
          <w:szCs w:val="24"/>
        </w:rPr>
        <w:t xml:space="preserve"> </w:t>
      </w:r>
      <w:hyperlink r:id="rId21" w:history="1">
        <w:r w:rsidRPr="00847E03">
          <w:rPr>
            <w:rFonts w:eastAsia="Times New Roman"/>
            <w:color w:val="0563C1"/>
            <w:szCs w:val="24"/>
            <w:u w:val="single"/>
          </w:rPr>
          <w:t>NOPTA’s website</w:t>
        </w:r>
      </w:hyperlink>
      <w:r w:rsidRPr="00847E03">
        <w:rPr>
          <w:rFonts w:eastAsia="Times New Roman"/>
          <w:color w:val="5F5F5F"/>
          <w:szCs w:val="24"/>
        </w:rPr>
        <w:t xml:space="preserve"> and include checklists of information that should be provided with an application.</w:t>
      </w:r>
    </w:p>
    <w:p w14:paraId="15575EA2" w14:textId="77777777" w:rsidR="00847E03" w:rsidRPr="005E6880" w:rsidRDefault="00847E03" w:rsidP="00856AFC">
      <w:pPr>
        <w:pStyle w:val="Heading2"/>
      </w:pPr>
      <w:r w:rsidRPr="005E6880">
        <w:t xml:space="preserve">More information </w:t>
      </w:r>
    </w:p>
    <w:p w14:paraId="53D619F5" w14:textId="77777777" w:rsidR="00847E03" w:rsidRPr="00847E03" w:rsidRDefault="00847E03" w:rsidP="005E6880">
      <w:pPr>
        <w:spacing w:before="120" w:beforeAutospacing="0" w:after="120" w:afterAutospacing="0"/>
        <w:rPr>
          <w:rFonts w:eastAsia="Times New Roman"/>
          <w:color w:val="5F5F5F"/>
          <w:szCs w:val="24"/>
        </w:rPr>
      </w:pPr>
      <w:r w:rsidRPr="00847E03">
        <w:rPr>
          <w:rFonts w:eastAsia="Times New Roman"/>
          <w:color w:val="5F5F5F"/>
          <w:szCs w:val="24"/>
        </w:rPr>
        <w:t>NOPTA has published to its </w:t>
      </w:r>
      <w:hyperlink r:id="rId22" w:history="1">
        <w:r w:rsidRPr="00847E03">
          <w:rPr>
            <w:rFonts w:eastAsia="Times New Roman"/>
            <w:color w:val="0563C1"/>
            <w:szCs w:val="24"/>
            <w:u w:val="single"/>
          </w:rPr>
          <w:t>website</w:t>
        </w:r>
      </w:hyperlink>
      <w:r w:rsidRPr="00847E03">
        <w:rPr>
          <w:rFonts w:eastAsia="Times New Roman"/>
          <w:color w:val="5F5F5F"/>
          <w:szCs w:val="24"/>
        </w:rPr>
        <w:t> a new fact sheet and a set of Frequently Asked Questions to provide guidance to industry on undertaking exploration activities outside of a title area.</w:t>
      </w:r>
    </w:p>
    <w:p w14:paraId="57AEB32E" w14:textId="77777777" w:rsidR="00847E03" w:rsidRPr="00847E03" w:rsidRDefault="00847E03" w:rsidP="005E6880">
      <w:pPr>
        <w:spacing w:before="120" w:beforeAutospacing="0" w:after="120" w:afterAutospacing="0"/>
        <w:rPr>
          <w:rFonts w:eastAsia="Times New Roman"/>
          <w:color w:val="5F5F5F"/>
          <w:szCs w:val="24"/>
        </w:rPr>
      </w:pPr>
      <w:r w:rsidRPr="00847E03">
        <w:rPr>
          <w:rFonts w:eastAsia="Times New Roman"/>
          <w:color w:val="5F5F5F"/>
          <w:szCs w:val="24"/>
        </w:rPr>
        <w:t xml:space="preserve">If you have any specific questions, please contact </w:t>
      </w:r>
      <w:hyperlink r:id="rId23" w:history="1">
        <w:r w:rsidRPr="00847E03">
          <w:rPr>
            <w:rFonts w:eastAsia="Times New Roman"/>
            <w:color w:val="0563C1"/>
            <w:szCs w:val="24"/>
            <w:u w:val="single"/>
          </w:rPr>
          <w:t>ghg@nopta.gov.au</w:t>
        </w:r>
      </w:hyperlink>
      <w:r w:rsidRPr="00847E03">
        <w:rPr>
          <w:rFonts w:eastAsia="Times New Roman"/>
          <w:color w:val="5F5F5F"/>
          <w:szCs w:val="24"/>
        </w:rPr>
        <w:t xml:space="preserve">. </w:t>
      </w:r>
    </w:p>
    <w:p w14:paraId="641CCA1E" w14:textId="77777777" w:rsidR="00847E03" w:rsidRPr="00847E03" w:rsidRDefault="00847E03" w:rsidP="00042C10">
      <w:pPr>
        <w:spacing w:before="120" w:beforeAutospacing="0" w:after="240" w:afterAutospacing="0"/>
        <w:rPr>
          <w:rFonts w:eastAsia="Times New Roman"/>
          <w:color w:val="5F5F5F"/>
        </w:rPr>
      </w:pPr>
      <w:r w:rsidRPr="00847E03">
        <w:rPr>
          <w:rFonts w:eastAsia="Times New Roman"/>
          <w:b/>
          <w:bCs/>
          <w:i/>
          <w:iCs/>
          <w:color w:val="5F5F5F"/>
        </w:rPr>
        <w:t>Please note:</w:t>
      </w:r>
      <w:r w:rsidRPr="00847E03">
        <w:rPr>
          <w:rFonts w:eastAsia="Times New Roman"/>
          <w:i/>
          <w:iCs/>
          <w:color w:val="5F5F5F"/>
        </w:rPr>
        <w:t xml:space="preserve"> this document is intended as a guide only and should not be relied on as legal advice or regarded as a substitute for legal advice in individual cases</w:t>
      </w:r>
      <w:r w:rsidRPr="00847E03">
        <w:rPr>
          <w:rFonts w:eastAsia="Times New Roman"/>
          <w:color w:val="5F5F5F"/>
        </w:rPr>
        <w:t xml:space="preserve">. </w:t>
      </w:r>
    </w:p>
    <w:p w14:paraId="3F82DC02" w14:textId="77777777" w:rsidR="00847E03" w:rsidRPr="00847E03" w:rsidRDefault="00847E03" w:rsidP="00042C10">
      <w:pPr>
        <w:keepNext/>
        <w:keepLines/>
        <w:spacing w:before="120" w:beforeAutospacing="0" w:after="240" w:afterAutospacing="0"/>
        <w:outlineLvl w:val="1"/>
        <w:rPr>
          <w:rFonts w:eastAsia="Times New Roman"/>
          <w:b/>
          <w:color w:val="385623"/>
          <w:sz w:val="24"/>
          <w:szCs w:val="22"/>
          <w:lang w:eastAsia="en-AU"/>
        </w:rPr>
      </w:pPr>
      <w:r w:rsidRPr="00847E03">
        <w:rPr>
          <w:rFonts w:eastAsia="Times New Roman"/>
          <w:b/>
          <w:color w:val="385623"/>
          <w:sz w:val="24"/>
          <w:szCs w:val="22"/>
          <w:lang w:eastAsia="en-AU"/>
        </w:rPr>
        <w:t>Version History</w:t>
      </w:r>
    </w:p>
    <w:tbl>
      <w:tblPr>
        <w:tblStyle w:val="GridTable1Light11"/>
        <w:tblW w:w="48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57" w:type="dxa"/>
          <w:right w:w="57" w:type="dxa"/>
        </w:tblCellMar>
        <w:tblLook w:val="0420" w:firstRow="1" w:lastRow="0" w:firstColumn="0" w:lastColumn="0" w:noHBand="0" w:noVBand="1"/>
      </w:tblPr>
      <w:tblGrid>
        <w:gridCol w:w="782"/>
        <w:gridCol w:w="1056"/>
        <w:gridCol w:w="2977"/>
      </w:tblGrid>
      <w:tr w:rsidR="00847E03" w:rsidRPr="009F23FD" w14:paraId="004655D6" w14:textId="77777777" w:rsidTr="009F23FD">
        <w:trPr>
          <w:cnfStyle w:val="100000000000" w:firstRow="1" w:lastRow="0" w:firstColumn="0" w:lastColumn="0" w:oddVBand="0" w:evenVBand="0" w:oddHBand="0" w:evenHBand="0" w:firstRowFirstColumn="0" w:firstRowLastColumn="0" w:lastRowFirstColumn="0" w:lastRowLastColumn="0"/>
          <w:tblHeader/>
        </w:trPr>
        <w:tc>
          <w:tcPr>
            <w:tcW w:w="782" w:type="dxa"/>
            <w:tcBorders>
              <w:bottom w:val="none" w:sz="0" w:space="0" w:color="auto"/>
            </w:tcBorders>
          </w:tcPr>
          <w:p w14:paraId="1A3EFCEA" w14:textId="77777777" w:rsidR="00847E03" w:rsidRPr="009F23FD" w:rsidRDefault="00847E03" w:rsidP="009F23FD">
            <w:pPr>
              <w:spacing w:before="60" w:beforeAutospacing="0" w:after="60" w:afterAutospacing="0"/>
              <w:jc w:val="center"/>
              <w:rPr>
                <w:rFonts w:ascii="Aptos Narrow" w:hAnsi="Aptos Narrow"/>
                <w:color w:val="5F5F5F"/>
                <w:sz w:val="18"/>
                <w:szCs w:val="18"/>
              </w:rPr>
            </w:pPr>
            <w:r w:rsidRPr="009F23FD">
              <w:rPr>
                <w:rFonts w:ascii="Aptos Narrow" w:hAnsi="Aptos Narrow"/>
                <w:color w:val="5F5F5F"/>
                <w:sz w:val="18"/>
                <w:szCs w:val="18"/>
              </w:rPr>
              <w:t>Version</w:t>
            </w:r>
          </w:p>
        </w:tc>
        <w:tc>
          <w:tcPr>
            <w:tcW w:w="1056" w:type="dxa"/>
            <w:tcBorders>
              <w:bottom w:val="none" w:sz="0" w:space="0" w:color="auto"/>
            </w:tcBorders>
          </w:tcPr>
          <w:p w14:paraId="7D795BB8" w14:textId="77777777" w:rsidR="00847E03" w:rsidRPr="009F23FD" w:rsidRDefault="00847E03" w:rsidP="00042C10">
            <w:pPr>
              <w:spacing w:before="60" w:beforeAutospacing="0" w:after="60" w:afterAutospacing="0"/>
              <w:rPr>
                <w:rFonts w:ascii="Aptos Narrow" w:hAnsi="Aptos Narrow"/>
                <w:color w:val="5F5F5F"/>
                <w:sz w:val="18"/>
                <w:szCs w:val="18"/>
              </w:rPr>
            </w:pPr>
            <w:r w:rsidRPr="009F23FD">
              <w:rPr>
                <w:rFonts w:ascii="Aptos Narrow" w:hAnsi="Aptos Narrow"/>
                <w:color w:val="5F5F5F"/>
                <w:sz w:val="18"/>
                <w:szCs w:val="18"/>
              </w:rPr>
              <w:t>Date</w:t>
            </w:r>
          </w:p>
        </w:tc>
        <w:tc>
          <w:tcPr>
            <w:tcW w:w="2977" w:type="dxa"/>
            <w:tcBorders>
              <w:bottom w:val="none" w:sz="0" w:space="0" w:color="auto"/>
            </w:tcBorders>
          </w:tcPr>
          <w:p w14:paraId="33C0A352" w14:textId="77777777" w:rsidR="00847E03" w:rsidRPr="009F23FD" w:rsidRDefault="00847E03" w:rsidP="00042C10">
            <w:pPr>
              <w:spacing w:before="60" w:beforeAutospacing="0" w:after="60" w:afterAutospacing="0"/>
              <w:rPr>
                <w:rFonts w:ascii="Aptos Narrow" w:hAnsi="Aptos Narrow"/>
                <w:color w:val="5F5F5F"/>
                <w:sz w:val="18"/>
                <w:szCs w:val="18"/>
              </w:rPr>
            </w:pPr>
            <w:r w:rsidRPr="009F23FD">
              <w:rPr>
                <w:rFonts w:ascii="Aptos Narrow" w:hAnsi="Aptos Narrow"/>
                <w:color w:val="5F5F5F"/>
                <w:sz w:val="18"/>
                <w:szCs w:val="18"/>
              </w:rPr>
              <w:t>Comment</w:t>
            </w:r>
          </w:p>
        </w:tc>
      </w:tr>
      <w:tr w:rsidR="00426CB7" w:rsidRPr="009F23FD" w14:paraId="4705D273" w14:textId="77777777" w:rsidTr="009F23FD">
        <w:trPr>
          <w:cnfStyle w:val="100000000000" w:firstRow="1" w:lastRow="0" w:firstColumn="0" w:lastColumn="0" w:oddVBand="0" w:evenVBand="0" w:oddHBand="0" w:evenHBand="0" w:firstRowFirstColumn="0" w:firstRowLastColumn="0" w:lastRowFirstColumn="0" w:lastRowLastColumn="0"/>
          <w:tblHeader/>
        </w:trPr>
        <w:tc>
          <w:tcPr>
            <w:tcW w:w="782" w:type="dxa"/>
          </w:tcPr>
          <w:p w14:paraId="527316CF" w14:textId="38FDA890" w:rsidR="00426CB7" w:rsidRPr="003B531B" w:rsidRDefault="00426CB7" w:rsidP="009F23FD">
            <w:pPr>
              <w:spacing w:before="60" w:beforeAutospacing="0" w:after="60" w:afterAutospacing="0"/>
              <w:jc w:val="center"/>
              <w:rPr>
                <w:rFonts w:ascii="Aptos Narrow" w:eastAsia="Calibri" w:hAnsi="Aptos Narrow"/>
                <w:b w:val="0"/>
                <w:bCs w:val="0"/>
                <w:color w:val="5F5F5F"/>
                <w:sz w:val="18"/>
                <w:szCs w:val="18"/>
                <w:lang w:val="en-US"/>
              </w:rPr>
            </w:pPr>
            <w:r>
              <w:rPr>
                <w:rFonts w:ascii="Aptos Narrow" w:eastAsia="Calibri" w:hAnsi="Aptos Narrow"/>
                <w:b w:val="0"/>
                <w:bCs w:val="0"/>
                <w:color w:val="5F5F5F"/>
                <w:sz w:val="18"/>
                <w:szCs w:val="18"/>
                <w:lang w:val="en-US"/>
              </w:rPr>
              <w:t>5.0</w:t>
            </w:r>
          </w:p>
        </w:tc>
        <w:tc>
          <w:tcPr>
            <w:tcW w:w="1056" w:type="dxa"/>
          </w:tcPr>
          <w:p w14:paraId="243ED1BA" w14:textId="5C9DB3D9" w:rsidR="00426CB7" w:rsidRPr="00FC695E" w:rsidRDefault="00426CB7" w:rsidP="00042C10">
            <w:pPr>
              <w:spacing w:before="60" w:beforeAutospacing="0" w:after="60" w:afterAutospacing="0"/>
              <w:rPr>
                <w:rFonts w:ascii="Aptos Narrow" w:eastAsia="Calibri" w:hAnsi="Aptos Narrow"/>
                <w:b w:val="0"/>
                <w:bCs w:val="0"/>
                <w:color w:val="5F5F5F"/>
                <w:sz w:val="18"/>
                <w:szCs w:val="18"/>
                <w:lang w:val="en-US"/>
              </w:rPr>
            </w:pPr>
            <w:r>
              <w:rPr>
                <w:rFonts w:ascii="Aptos Narrow" w:eastAsia="Calibri" w:hAnsi="Aptos Narrow"/>
                <w:b w:val="0"/>
                <w:bCs w:val="0"/>
                <w:color w:val="5F5F5F"/>
                <w:sz w:val="18"/>
                <w:szCs w:val="18"/>
                <w:lang w:val="en-US"/>
              </w:rPr>
              <w:t>31/03/2026</w:t>
            </w:r>
          </w:p>
        </w:tc>
        <w:tc>
          <w:tcPr>
            <w:tcW w:w="2977" w:type="dxa"/>
          </w:tcPr>
          <w:p w14:paraId="1900994D" w14:textId="659F2BFA" w:rsidR="00426CB7" w:rsidRPr="006102EA" w:rsidRDefault="006102EA" w:rsidP="00042C10">
            <w:pPr>
              <w:spacing w:before="60" w:beforeAutospacing="0" w:after="60" w:afterAutospacing="0"/>
              <w:rPr>
                <w:rFonts w:ascii="Aptos Narrow" w:eastAsia="Calibri" w:hAnsi="Aptos Narrow"/>
                <w:b w:val="0"/>
                <w:bCs w:val="0"/>
                <w:color w:val="5F5F5F"/>
                <w:sz w:val="18"/>
                <w:szCs w:val="18"/>
                <w:lang w:val="en-US"/>
              </w:rPr>
            </w:pPr>
            <w:r>
              <w:rPr>
                <w:rFonts w:ascii="Aptos Narrow" w:eastAsia="Calibri" w:hAnsi="Aptos Narrow"/>
                <w:b w:val="0"/>
                <w:bCs w:val="0"/>
                <w:color w:val="5F5F5F"/>
                <w:sz w:val="18"/>
                <w:szCs w:val="18"/>
                <w:lang w:val="en-US"/>
              </w:rPr>
              <w:t xml:space="preserve">Amend reference </w:t>
            </w:r>
            <w:r w:rsidR="00924432">
              <w:rPr>
                <w:rFonts w:ascii="Aptos Narrow" w:eastAsia="Calibri" w:hAnsi="Aptos Narrow"/>
                <w:b w:val="0"/>
                <w:bCs w:val="0"/>
                <w:color w:val="5F5F5F"/>
                <w:sz w:val="18"/>
                <w:szCs w:val="18"/>
                <w:lang w:val="en-US"/>
              </w:rPr>
              <w:t xml:space="preserve">and links </w:t>
            </w:r>
            <w:r>
              <w:rPr>
                <w:rFonts w:ascii="Aptos Narrow" w:eastAsia="Calibri" w:hAnsi="Aptos Narrow"/>
                <w:b w:val="0"/>
                <w:bCs w:val="0"/>
                <w:color w:val="5F5F5F"/>
                <w:sz w:val="18"/>
                <w:szCs w:val="18"/>
                <w:lang w:val="en-US"/>
              </w:rPr>
              <w:t>to the RMA Regulat</w:t>
            </w:r>
            <w:r w:rsidR="007128A5">
              <w:rPr>
                <w:rFonts w:ascii="Aptos Narrow" w:eastAsia="Calibri" w:hAnsi="Aptos Narrow"/>
                <w:b w:val="0"/>
                <w:bCs w:val="0"/>
                <w:color w:val="5F5F5F"/>
                <w:sz w:val="18"/>
                <w:szCs w:val="18"/>
                <w:lang w:val="en-US"/>
              </w:rPr>
              <w:t xml:space="preserve">ions </w:t>
            </w:r>
            <w:r w:rsidR="00074DB8">
              <w:rPr>
                <w:rFonts w:ascii="Aptos Narrow" w:eastAsia="Calibri" w:hAnsi="Aptos Narrow"/>
                <w:b w:val="0"/>
                <w:bCs w:val="0"/>
                <w:color w:val="5F5F5F"/>
                <w:sz w:val="18"/>
                <w:szCs w:val="18"/>
                <w:lang w:val="en-US"/>
              </w:rPr>
              <w:t>and forms gui</w:t>
            </w:r>
            <w:r w:rsidR="00924432">
              <w:rPr>
                <w:rFonts w:ascii="Aptos Narrow" w:eastAsia="Calibri" w:hAnsi="Aptos Narrow"/>
                <w:b w:val="0"/>
                <w:bCs w:val="0"/>
                <w:color w:val="5F5F5F"/>
                <w:sz w:val="18"/>
                <w:szCs w:val="18"/>
                <w:lang w:val="en-US"/>
              </w:rPr>
              <w:t>dance.</w:t>
            </w:r>
          </w:p>
        </w:tc>
      </w:tr>
      <w:tr w:rsidR="00847E03" w:rsidRPr="009F23FD" w14:paraId="3ECD22B1" w14:textId="77777777" w:rsidTr="009F23FD">
        <w:trPr>
          <w:cnfStyle w:val="100000000000" w:firstRow="1" w:lastRow="0" w:firstColumn="0" w:lastColumn="0" w:oddVBand="0" w:evenVBand="0" w:oddHBand="0" w:evenHBand="0" w:firstRowFirstColumn="0" w:firstRowLastColumn="0" w:lastRowFirstColumn="0" w:lastRowLastColumn="0"/>
          <w:tblHeader/>
        </w:trPr>
        <w:tc>
          <w:tcPr>
            <w:tcW w:w="782" w:type="dxa"/>
            <w:tcBorders>
              <w:bottom w:val="none" w:sz="0" w:space="0" w:color="auto"/>
            </w:tcBorders>
          </w:tcPr>
          <w:p w14:paraId="2557AC70" w14:textId="77777777" w:rsidR="00847E03" w:rsidRPr="009F23FD" w:rsidRDefault="00847E03" w:rsidP="009F23FD">
            <w:pPr>
              <w:spacing w:before="60" w:beforeAutospacing="0" w:after="60" w:afterAutospacing="0"/>
              <w:jc w:val="center"/>
              <w:rPr>
                <w:rFonts w:ascii="Aptos Narrow" w:eastAsia="Calibri" w:hAnsi="Aptos Narrow"/>
                <w:b w:val="0"/>
                <w:bCs w:val="0"/>
                <w:color w:val="5F5F5F"/>
                <w:sz w:val="18"/>
                <w:szCs w:val="18"/>
                <w:lang w:val="en-US"/>
              </w:rPr>
            </w:pPr>
            <w:r w:rsidRPr="009F23FD">
              <w:rPr>
                <w:rFonts w:ascii="Aptos Narrow" w:eastAsia="Calibri" w:hAnsi="Aptos Narrow"/>
                <w:b w:val="0"/>
                <w:bCs w:val="0"/>
                <w:color w:val="5F5F5F"/>
                <w:sz w:val="18"/>
                <w:szCs w:val="18"/>
                <w:lang w:val="en-US"/>
              </w:rPr>
              <w:t>4.0</w:t>
            </w:r>
          </w:p>
        </w:tc>
        <w:tc>
          <w:tcPr>
            <w:tcW w:w="1056" w:type="dxa"/>
            <w:tcBorders>
              <w:bottom w:val="none" w:sz="0" w:space="0" w:color="auto"/>
            </w:tcBorders>
          </w:tcPr>
          <w:p w14:paraId="2F7F1949" w14:textId="6E54CEBE" w:rsidR="00847E03" w:rsidRPr="009F23FD" w:rsidRDefault="00E05058" w:rsidP="00042C10">
            <w:pPr>
              <w:spacing w:before="60" w:beforeAutospacing="0" w:after="60" w:afterAutospacing="0"/>
              <w:rPr>
                <w:rFonts w:ascii="Aptos Narrow" w:eastAsia="Calibri" w:hAnsi="Aptos Narrow"/>
                <w:b w:val="0"/>
                <w:bCs w:val="0"/>
                <w:color w:val="5F5F5F"/>
                <w:sz w:val="18"/>
                <w:szCs w:val="18"/>
                <w:lang w:val="en-US"/>
              </w:rPr>
            </w:pPr>
            <w:r w:rsidRPr="00E05058">
              <w:rPr>
                <w:rFonts w:ascii="Aptos Narrow" w:eastAsia="Calibri" w:hAnsi="Aptos Narrow"/>
                <w:b w:val="0"/>
                <w:bCs w:val="0"/>
                <w:color w:val="5F5F5F"/>
                <w:sz w:val="18"/>
                <w:szCs w:val="18"/>
                <w:lang w:val="en-US"/>
              </w:rPr>
              <w:t>07</w:t>
            </w:r>
            <w:r w:rsidR="00847E03" w:rsidRPr="00E05058">
              <w:rPr>
                <w:rFonts w:ascii="Aptos Narrow" w:eastAsia="Calibri" w:hAnsi="Aptos Narrow"/>
                <w:b w:val="0"/>
                <w:bCs w:val="0"/>
                <w:color w:val="5F5F5F"/>
                <w:sz w:val="18"/>
                <w:szCs w:val="18"/>
                <w:lang w:val="en-US"/>
              </w:rPr>
              <w:t>/04/2025</w:t>
            </w:r>
          </w:p>
        </w:tc>
        <w:tc>
          <w:tcPr>
            <w:tcW w:w="2977" w:type="dxa"/>
            <w:tcBorders>
              <w:bottom w:val="none" w:sz="0" w:space="0" w:color="auto"/>
            </w:tcBorders>
          </w:tcPr>
          <w:p w14:paraId="39F9CA28" w14:textId="77777777" w:rsidR="00847E03" w:rsidRPr="009F23FD" w:rsidRDefault="00847E03" w:rsidP="00042C10">
            <w:pPr>
              <w:spacing w:before="60" w:beforeAutospacing="0" w:after="60" w:afterAutospacing="0"/>
              <w:rPr>
                <w:rFonts w:ascii="Aptos Narrow" w:eastAsia="Calibri" w:hAnsi="Aptos Narrow"/>
                <w:b w:val="0"/>
                <w:bCs w:val="0"/>
                <w:color w:val="5F5F5F"/>
                <w:sz w:val="18"/>
                <w:szCs w:val="18"/>
                <w:lang w:val="en-US"/>
              </w:rPr>
            </w:pPr>
            <w:r w:rsidRPr="009F23FD">
              <w:rPr>
                <w:rFonts w:ascii="Aptos Narrow" w:eastAsia="Calibri" w:hAnsi="Aptos Narrow"/>
                <w:b w:val="0"/>
                <w:bCs w:val="0"/>
                <w:color w:val="5F5F5F"/>
                <w:sz w:val="18"/>
                <w:szCs w:val="18"/>
                <w:lang w:val="en-US"/>
              </w:rPr>
              <w:t>Update to content, layout, and format.</w:t>
            </w:r>
          </w:p>
        </w:tc>
      </w:tr>
      <w:tr w:rsidR="00847E03" w:rsidRPr="009F23FD" w14:paraId="2D3356A8" w14:textId="77777777" w:rsidTr="009F23FD">
        <w:trPr>
          <w:cnfStyle w:val="100000000000" w:firstRow="1" w:lastRow="0" w:firstColumn="0" w:lastColumn="0" w:oddVBand="0" w:evenVBand="0" w:oddHBand="0" w:evenHBand="0" w:firstRowFirstColumn="0" w:firstRowLastColumn="0" w:lastRowFirstColumn="0" w:lastRowLastColumn="0"/>
          <w:tblHeader/>
        </w:trPr>
        <w:tc>
          <w:tcPr>
            <w:tcW w:w="782" w:type="dxa"/>
            <w:tcBorders>
              <w:bottom w:val="none" w:sz="0" w:space="0" w:color="auto"/>
            </w:tcBorders>
          </w:tcPr>
          <w:p w14:paraId="5EB8C90D" w14:textId="77777777" w:rsidR="00847E03" w:rsidRPr="009F23FD" w:rsidDel="00050914" w:rsidRDefault="00847E03" w:rsidP="009F23FD">
            <w:pPr>
              <w:spacing w:before="60" w:beforeAutospacing="0" w:after="60" w:afterAutospacing="0"/>
              <w:jc w:val="center"/>
              <w:rPr>
                <w:rFonts w:ascii="Aptos Narrow" w:eastAsia="Calibri" w:hAnsi="Aptos Narrow"/>
                <w:b w:val="0"/>
                <w:bCs w:val="0"/>
                <w:color w:val="5F5F5F"/>
                <w:sz w:val="18"/>
                <w:szCs w:val="18"/>
                <w:lang w:val="en-US"/>
              </w:rPr>
            </w:pPr>
            <w:r w:rsidRPr="009F23FD">
              <w:rPr>
                <w:rFonts w:ascii="Aptos Narrow" w:eastAsia="Calibri" w:hAnsi="Aptos Narrow"/>
                <w:b w:val="0"/>
                <w:bCs w:val="0"/>
                <w:color w:val="5F5F5F"/>
                <w:sz w:val="18"/>
                <w:szCs w:val="18"/>
                <w:lang w:val="en-US"/>
              </w:rPr>
              <w:t>3.0</w:t>
            </w:r>
          </w:p>
        </w:tc>
        <w:tc>
          <w:tcPr>
            <w:tcW w:w="1056" w:type="dxa"/>
            <w:tcBorders>
              <w:bottom w:val="none" w:sz="0" w:space="0" w:color="auto"/>
            </w:tcBorders>
          </w:tcPr>
          <w:p w14:paraId="7205CF03" w14:textId="77777777" w:rsidR="00847E03" w:rsidRPr="009F23FD" w:rsidDel="00050914" w:rsidRDefault="00847E03" w:rsidP="00042C10">
            <w:pPr>
              <w:spacing w:before="60" w:beforeAutospacing="0" w:after="60" w:afterAutospacing="0"/>
              <w:rPr>
                <w:rFonts w:ascii="Aptos Narrow" w:eastAsia="Calibri" w:hAnsi="Aptos Narrow"/>
                <w:b w:val="0"/>
                <w:bCs w:val="0"/>
                <w:color w:val="5F5F5F"/>
                <w:sz w:val="18"/>
                <w:szCs w:val="18"/>
                <w:highlight w:val="yellow"/>
                <w:lang w:val="en-US"/>
              </w:rPr>
            </w:pPr>
            <w:r w:rsidRPr="009F23FD">
              <w:rPr>
                <w:rFonts w:ascii="Aptos Narrow" w:eastAsia="Calibri" w:hAnsi="Aptos Narrow"/>
                <w:b w:val="0"/>
                <w:bCs w:val="0"/>
                <w:color w:val="5F5F5F"/>
                <w:sz w:val="18"/>
                <w:szCs w:val="18"/>
                <w:lang w:val="en-US"/>
              </w:rPr>
              <w:t>18/03/2024</w:t>
            </w:r>
          </w:p>
        </w:tc>
        <w:tc>
          <w:tcPr>
            <w:tcW w:w="2977" w:type="dxa"/>
            <w:tcBorders>
              <w:bottom w:val="none" w:sz="0" w:space="0" w:color="auto"/>
            </w:tcBorders>
          </w:tcPr>
          <w:p w14:paraId="63E39761" w14:textId="77777777" w:rsidR="00847E03" w:rsidRPr="009F23FD" w:rsidRDefault="00847E03" w:rsidP="00042C10">
            <w:pPr>
              <w:spacing w:before="60" w:beforeAutospacing="0" w:after="60" w:afterAutospacing="0"/>
              <w:rPr>
                <w:rFonts w:ascii="Aptos Narrow" w:eastAsia="Calibri" w:hAnsi="Aptos Narrow"/>
                <w:b w:val="0"/>
                <w:bCs w:val="0"/>
                <w:color w:val="5F5F5F"/>
                <w:sz w:val="18"/>
                <w:szCs w:val="18"/>
                <w:highlight w:val="yellow"/>
                <w:lang w:val="en-US"/>
              </w:rPr>
            </w:pPr>
            <w:r w:rsidRPr="009F23FD">
              <w:rPr>
                <w:rFonts w:ascii="Aptos Narrow" w:eastAsia="Calibri" w:hAnsi="Aptos Narrow"/>
                <w:b w:val="0"/>
                <w:bCs w:val="0"/>
                <w:color w:val="5F5F5F"/>
                <w:sz w:val="18"/>
                <w:szCs w:val="18"/>
                <w:lang w:val="en-US"/>
              </w:rPr>
              <w:t>Add link to GHG forms guidance</w:t>
            </w:r>
          </w:p>
        </w:tc>
      </w:tr>
    </w:tbl>
    <w:p w14:paraId="4AF94502" w14:textId="77777777" w:rsidR="00E96220" w:rsidRDefault="00E96220"/>
    <w:p w14:paraId="7D74500F" w14:textId="77777777" w:rsidR="006C2F7E" w:rsidRDefault="006C2F7E" w:rsidP="00042C10">
      <w:pPr>
        <w:spacing w:before="120" w:beforeAutospacing="0" w:after="240" w:afterAutospacing="0"/>
        <w:sectPr w:rsidR="006C2F7E" w:rsidSect="00FA4727">
          <w:type w:val="continuous"/>
          <w:pgSz w:w="11906" w:h="16838"/>
          <w:pgMar w:top="2552" w:right="992" w:bottom="851" w:left="992" w:header="709" w:footer="283" w:gutter="0"/>
          <w:cols w:num="2" w:space="397"/>
          <w:docGrid w:linePitch="360"/>
        </w:sectPr>
      </w:pPr>
    </w:p>
    <w:p w14:paraId="25DB6424" w14:textId="77777777" w:rsidR="00B925AD" w:rsidRDefault="00B925AD" w:rsidP="005E6880">
      <w:pPr>
        <w:spacing w:before="120" w:beforeAutospacing="0" w:after="120" w:afterAutospacing="0"/>
      </w:pPr>
    </w:p>
    <w:sectPr w:rsidR="00B925AD" w:rsidSect="00FA4727">
      <w:type w:val="continuous"/>
      <w:pgSz w:w="11906" w:h="16838"/>
      <w:pgMar w:top="2552" w:right="992" w:bottom="851" w:left="992" w:header="709" w:footer="283"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CEB1" w14:textId="77777777" w:rsidR="0065085D" w:rsidRDefault="0065085D" w:rsidP="00E46982">
      <w:pPr>
        <w:spacing w:before="0" w:after="0"/>
      </w:pPr>
      <w:r>
        <w:separator/>
      </w:r>
    </w:p>
  </w:endnote>
  <w:endnote w:type="continuationSeparator" w:id="0">
    <w:p w14:paraId="69921E60" w14:textId="77777777" w:rsidR="0065085D" w:rsidRDefault="0065085D" w:rsidP="00E469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7BD0" w14:textId="60EAF936" w:rsidR="00E46982" w:rsidRDefault="00E46982" w:rsidP="00E46982">
    <w:pPr>
      <w:pStyle w:val="Footer"/>
      <w:tabs>
        <w:tab w:val="clear" w:pos="9026"/>
        <w:tab w:val="right" w:pos="9922"/>
      </w:tabs>
      <w:spacing w:beforeAutospacing="0" w:after="120" w:afterAutospacing="0"/>
    </w:pPr>
    <w:r w:rsidRPr="00232400">
      <w:rPr>
        <w:noProof/>
        <w:color w:val="0563C1"/>
        <w:lang w:eastAsia="en-AU"/>
      </w:rPr>
      <mc:AlternateContent>
        <mc:Choice Requires="wps">
          <w:drawing>
            <wp:anchor distT="0" distB="0" distL="114300" distR="114300" simplePos="0" relativeHeight="251658241" behindDoc="0" locked="0" layoutInCell="1" allowOverlap="1" wp14:anchorId="768E860A" wp14:editId="54B91ED9">
              <wp:simplePos x="0" y="0"/>
              <wp:positionH relativeFrom="margin">
                <wp:posOffset>-34698</wp:posOffset>
              </wp:positionH>
              <wp:positionV relativeFrom="paragraph">
                <wp:posOffset>-12508</wp:posOffset>
              </wp:positionV>
              <wp:extent cx="6352779" cy="0"/>
              <wp:effectExtent l="0" t="0" r="0" b="0"/>
              <wp:wrapNone/>
              <wp:docPr id="870364767" name="Straight Connector 8703647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779" cy="0"/>
                      </a:xfrm>
                      <a:prstGeom prst="line">
                        <a:avLst/>
                      </a:prstGeom>
                      <a:noFill/>
                      <a:ln w="9525">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v:line id="Straight Connector 870364767"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quot;&quot;" o:spid="_x0000_s1026" strokecolor="#3a7c22 [2409]" from="-2.75pt,-1pt" to="497.45pt,-1pt" w14:anchorId="3BAA7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">
              <w10:wrap anchorx="margin"/>
            </v:line>
          </w:pict>
        </mc:Fallback>
      </mc:AlternateContent>
    </w:r>
    <w:hyperlink r:id="rId1" w:history="1">
      <w:r w:rsidRPr="00232400">
        <w:rPr>
          <w:rStyle w:val="Hyperlink"/>
          <w:color w:val="0563C1"/>
        </w:rPr>
        <w:t>www.nopta.gov.au</w:t>
      </w:r>
    </w:hyperlink>
    <w:r>
      <w:t xml:space="preserve"> </w:t>
    </w:r>
    <w:r>
      <w:tab/>
    </w:r>
    <w:r>
      <w:tab/>
    </w:r>
    <w:r w:rsidRPr="006725C2">
      <w:t xml:space="preserve">Version </w:t>
    </w:r>
    <w:r w:rsidR="005913B5">
      <w:t>5</w:t>
    </w:r>
    <w:r w:rsidRPr="006725C2">
      <w:t xml:space="preserve">: </w:t>
    </w:r>
    <w:r w:rsidR="005913B5">
      <w:t xml:space="preserve">March </w:t>
    </w:r>
    <w:r w:rsidR="005A63B8">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8A9A" w14:textId="77777777" w:rsidR="0065085D" w:rsidRDefault="0065085D" w:rsidP="00E46982">
      <w:pPr>
        <w:spacing w:before="0" w:after="0"/>
      </w:pPr>
      <w:r>
        <w:separator/>
      </w:r>
    </w:p>
  </w:footnote>
  <w:footnote w:type="continuationSeparator" w:id="0">
    <w:p w14:paraId="54580746" w14:textId="77777777" w:rsidR="0065085D" w:rsidRDefault="0065085D" w:rsidP="00E469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2DB4" w14:textId="153AA872" w:rsidR="00E46982" w:rsidRDefault="00E46982">
    <w:pPr>
      <w:pStyle w:val="Header"/>
    </w:pPr>
    <w:r>
      <w:rPr>
        <w:noProof/>
      </w:rPr>
      <w:drawing>
        <wp:anchor distT="0" distB="0" distL="114300" distR="114300" simplePos="0" relativeHeight="251658240" behindDoc="1" locked="0" layoutInCell="1" allowOverlap="1" wp14:anchorId="065CCAE6" wp14:editId="72BA815A">
          <wp:simplePos x="0" y="0"/>
          <wp:positionH relativeFrom="page">
            <wp:posOffset>-11347</wp:posOffset>
          </wp:positionH>
          <wp:positionV relativeFrom="page">
            <wp:posOffset>4255</wp:posOffset>
          </wp:positionV>
          <wp:extent cx="7592400" cy="1591200"/>
          <wp:effectExtent l="0" t="0" r="0" b="9525"/>
          <wp:wrapNone/>
          <wp:docPr id="802270724" name="Picture 802270724" descr="NOPTA Fact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6">
                        <a:shade val="45000"/>
                        <a:satMod val="135000"/>
                      </a:schemeClr>
                      <a:prstClr val="white"/>
                    </a:duotone>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592400" cy="159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2192"/>
    <w:multiLevelType w:val="hybridMultilevel"/>
    <w:tmpl w:val="323224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FFB075F"/>
    <w:multiLevelType w:val="hybridMultilevel"/>
    <w:tmpl w:val="467EC9CE"/>
    <w:lvl w:ilvl="0" w:tplc="967ED1D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49775793">
    <w:abstractNumId w:val="1"/>
  </w:num>
  <w:num w:numId="2" w16cid:durableId="32200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82"/>
    <w:rsid w:val="00034E30"/>
    <w:rsid w:val="00042C10"/>
    <w:rsid w:val="00074DB8"/>
    <w:rsid w:val="000754AF"/>
    <w:rsid w:val="00086249"/>
    <w:rsid w:val="000E21B7"/>
    <w:rsid w:val="00112F7B"/>
    <w:rsid w:val="00131575"/>
    <w:rsid w:val="00136A62"/>
    <w:rsid w:val="001948BE"/>
    <w:rsid w:val="001A5EB0"/>
    <w:rsid w:val="001B2E50"/>
    <w:rsid w:val="001D67F7"/>
    <w:rsid w:val="00232F59"/>
    <w:rsid w:val="00256373"/>
    <w:rsid w:val="00257DF3"/>
    <w:rsid w:val="002C5CCB"/>
    <w:rsid w:val="002E0AE1"/>
    <w:rsid w:val="00310F03"/>
    <w:rsid w:val="003407CD"/>
    <w:rsid w:val="003A6753"/>
    <w:rsid w:val="003B531B"/>
    <w:rsid w:val="003D56E9"/>
    <w:rsid w:val="00426CB7"/>
    <w:rsid w:val="0043085A"/>
    <w:rsid w:val="00432937"/>
    <w:rsid w:val="00453D17"/>
    <w:rsid w:val="00486F82"/>
    <w:rsid w:val="00491B7E"/>
    <w:rsid w:val="004F4892"/>
    <w:rsid w:val="00504AC9"/>
    <w:rsid w:val="00585BB9"/>
    <w:rsid w:val="00590939"/>
    <w:rsid w:val="005913B5"/>
    <w:rsid w:val="005A173C"/>
    <w:rsid w:val="005A63B8"/>
    <w:rsid w:val="005B3CFD"/>
    <w:rsid w:val="005D486F"/>
    <w:rsid w:val="005E6880"/>
    <w:rsid w:val="006102EA"/>
    <w:rsid w:val="006161DC"/>
    <w:rsid w:val="0065085D"/>
    <w:rsid w:val="006570A9"/>
    <w:rsid w:val="00672418"/>
    <w:rsid w:val="006725C2"/>
    <w:rsid w:val="006854C8"/>
    <w:rsid w:val="006C2F7E"/>
    <w:rsid w:val="007128A5"/>
    <w:rsid w:val="007440D8"/>
    <w:rsid w:val="00765DAC"/>
    <w:rsid w:val="00794A12"/>
    <w:rsid w:val="007D1666"/>
    <w:rsid w:val="0080721E"/>
    <w:rsid w:val="008413ED"/>
    <w:rsid w:val="00845AB1"/>
    <w:rsid w:val="00847E03"/>
    <w:rsid w:val="00856AFC"/>
    <w:rsid w:val="00860CAE"/>
    <w:rsid w:val="00867737"/>
    <w:rsid w:val="00877510"/>
    <w:rsid w:val="00880F68"/>
    <w:rsid w:val="00883B66"/>
    <w:rsid w:val="008F2264"/>
    <w:rsid w:val="00924432"/>
    <w:rsid w:val="0095642A"/>
    <w:rsid w:val="00960883"/>
    <w:rsid w:val="009861E9"/>
    <w:rsid w:val="009A00C3"/>
    <w:rsid w:val="009A3600"/>
    <w:rsid w:val="009B2182"/>
    <w:rsid w:val="009B5F93"/>
    <w:rsid w:val="009C2F19"/>
    <w:rsid w:val="009F23FD"/>
    <w:rsid w:val="00A20A31"/>
    <w:rsid w:val="00A82637"/>
    <w:rsid w:val="00A83184"/>
    <w:rsid w:val="00AA617C"/>
    <w:rsid w:val="00AA77C5"/>
    <w:rsid w:val="00AE70D7"/>
    <w:rsid w:val="00AF01E8"/>
    <w:rsid w:val="00B23849"/>
    <w:rsid w:val="00B26D6F"/>
    <w:rsid w:val="00B360B5"/>
    <w:rsid w:val="00B75AD0"/>
    <w:rsid w:val="00B87E09"/>
    <w:rsid w:val="00B925AD"/>
    <w:rsid w:val="00B9791B"/>
    <w:rsid w:val="00BA235A"/>
    <w:rsid w:val="00BA79B2"/>
    <w:rsid w:val="00BB32A1"/>
    <w:rsid w:val="00BC6550"/>
    <w:rsid w:val="00BE536E"/>
    <w:rsid w:val="00C67C54"/>
    <w:rsid w:val="00CA2722"/>
    <w:rsid w:val="00CB411A"/>
    <w:rsid w:val="00CD5433"/>
    <w:rsid w:val="00D46BE0"/>
    <w:rsid w:val="00D514F4"/>
    <w:rsid w:val="00D57641"/>
    <w:rsid w:val="00D60312"/>
    <w:rsid w:val="00D80A7D"/>
    <w:rsid w:val="00D864E7"/>
    <w:rsid w:val="00DD421F"/>
    <w:rsid w:val="00DE5CE9"/>
    <w:rsid w:val="00E02827"/>
    <w:rsid w:val="00E05058"/>
    <w:rsid w:val="00E07F33"/>
    <w:rsid w:val="00E46982"/>
    <w:rsid w:val="00E670C5"/>
    <w:rsid w:val="00E8347F"/>
    <w:rsid w:val="00E84539"/>
    <w:rsid w:val="00E96220"/>
    <w:rsid w:val="00EB212D"/>
    <w:rsid w:val="00F02F80"/>
    <w:rsid w:val="00F035F0"/>
    <w:rsid w:val="00F403FF"/>
    <w:rsid w:val="00F60644"/>
    <w:rsid w:val="00F96AD1"/>
    <w:rsid w:val="00FA34FF"/>
    <w:rsid w:val="00FA4727"/>
    <w:rsid w:val="00FA7641"/>
    <w:rsid w:val="00FB08A4"/>
    <w:rsid w:val="00FC695E"/>
    <w:rsid w:val="00FD0ABA"/>
    <w:rsid w:val="00FD663A"/>
    <w:rsid w:val="32832069"/>
    <w:rsid w:val="34FD860D"/>
    <w:rsid w:val="67A64C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358A"/>
  <w15:chartTrackingRefBased/>
  <w15:docId w15:val="{B98DD514-7B0C-4C11-8253-CAD556BF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982"/>
    <w:pPr>
      <w:spacing w:before="100" w:beforeAutospacing="1" w:after="100" w:afterAutospacing="1" w:line="240" w:lineRule="auto"/>
    </w:pPr>
    <w:rPr>
      <w:rFonts w:ascii="Aptos" w:hAnsi="Aptos" w:cs="Calibri"/>
      <w:color w:val="565751"/>
      <w:sz w:val="20"/>
      <w:szCs w:val="20"/>
    </w:rPr>
  </w:style>
  <w:style w:type="paragraph" w:styleId="Heading1">
    <w:name w:val="heading 1"/>
    <w:basedOn w:val="Normal"/>
    <w:next w:val="Normal"/>
    <w:link w:val="Heading1Char"/>
    <w:uiPriority w:val="9"/>
    <w:qFormat/>
    <w:rsid w:val="00E46982"/>
    <w:pPr>
      <w:spacing w:after="120" w:afterAutospacing="0"/>
      <w:outlineLvl w:val="0"/>
    </w:pPr>
    <w:rPr>
      <w:rFonts w:eastAsiaTheme="majorEastAsia" w:cstheme="majorBidi"/>
      <w:b/>
      <w:color w:val="275317" w:themeColor="accent6" w:themeShade="80"/>
      <w:sz w:val="44"/>
      <w:szCs w:val="32"/>
    </w:rPr>
  </w:style>
  <w:style w:type="paragraph" w:styleId="Heading2">
    <w:name w:val="heading 2"/>
    <w:basedOn w:val="Normal"/>
    <w:next w:val="Normal"/>
    <w:link w:val="Heading2Char"/>
    <w:unhideWhenUsed/>
    <w:qFormat/>
    <w:rsid w:val="00856AFC"/>
    <w:pPr>
      <w:keepNext/>
      <w:keepLines/>
      <w:spacing w:before="240" w:beforeAutospacing="0" w:after="120" w:afterAutospacing="0"/>
      <w:outlineLvl w:val="1"/>
    </w:pPr>
    <w:rPr>
      <w:rFonts w:eastAsia="Times New Roman" w:cstheme="minorHAnsi"/>
      <w:b/>
      <w:color w:val="275317" w:themeColor="accent6" w:themeShade="80"/>
      <w:sz w:val="24"/>
      <w:lang w:eastAsia="en-AU"/>
    </w:rPr>
  </w:style>
  <w:style w:type="paragraph" w:styleId="Heading3">
    <w:name w:val="heading 3"/>
    <w:basedOn w:val="Normal"/>
    <w:next w:val="Normal"/>
    <w:link w:val="Heading3Char"/>
    <w:autoRedefine/>
    <w:uiPriority w:val="9"/>
    <w:unhideWhenUsed/>
    <w:qFormat/>
    <w:rsid w:val="00E46982"/>
    <w:pPr>
      <w:keepNext/>
      <w:keepLines/>
      <w:spacing w:after="120" w:afterAutospacing="0"/>
      <w:outlineLvl w:val="2"/>
    </w:pPr>
    <w:rPr>
      <w:rFonts w:eastAsiaTheme="majorEastAsia" w:cstheme="majorBidi"/>
      <w:b/>
      <w:sz w:val="22"/>
      <w:szCs w:val="28"/>
      <w:u w:val="single"/>
    </w:rPr>
  </w:style>
  <w:style w:type="paragraph" w:styleId="Heading4">
    <w:name w:val="heading 4"/>
    <w:basedOn w:val="Normal"/>
    <w:next w:val="Normal"/>
    <w:link w:val="Heading4Char"/>
    <w:uiPriority w:val="9"/>
    <w:semiHidden/>
    <w:unhideWhenUsed/>
    <w:qFormat/>
    <w:rsid w:val="00E469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69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69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69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698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698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pPr>
      <w:spacing w:before="0"/>
    </w:pPr>
    <w:rPr>
      <w:rFonts w:asciiTheme="minorHAnsi" w:hAnsiTheme="minorHAnsi"/>
      <w:b w:val="0"/>
      <w:color w:val="3A7C22"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val="0"/>
      <w:color w:val="3A7C22" w:themeColor="accent6" w:themeShade="BF"/>
      <w:sz w:val="44"/>
      <w:szCs w:val="32"/>
    </w:rPr>
  </w:style>
  <w:style w:type="character" w:customStyle="1" w:styleId="Heading1Char">
    <w:name w:val="Heading 1 Char"/>
    <w:basedOn w:val="DefaultParagraphFont"/>
    <w:link w:val="Heading1"/>
    <w:uiPriority w:val="9"/>
    <w:rsid w:val="00E46982"/>
    <w:rPr>
      <w:rFonts w:ascii="Aptos" w:eastAsiaTheme="majorEastAsia" w:hAnsi="Aptos" w:cstheme="majorBidi"/>
      <w:b/>
      <w:color w:val="275317" w:themeColor="accent6" w:themeShade="80"/>
      <w:sz w:val="44"/>
      <w:szCs w:val="32"/>
    </w:rPr>
  </w:style>
  <w:style w:type="character" w:customStyle="1" w:styleId="Heading2Char">
    <w:name w:val="Heading 2 Char"/>
    <w:basedOn w:val="DefaultParagraphFont"/>
    <w:link w:val="Heading2"/>
    <w:rsid w:val="00856AFC"/>
    <w:rPr>
      <w:rFonts w:ascii="Aptos" w:eastAsia="Times New Roman" w:hAnsi="Aptos" w:cstheme="minorHAnsi"/>
      <w:b/>
      <w:color w:val="275317" w:themeColor="accent6" w:themeShade="80"/>
      <w:sz w:val="24"/>
      <w:szCs w:val="20"/>
      <w:lang w:eastAsia="en-AU"/>
    </w:rPr>
  </w:style>
  <w:style w:type="character" w:customStyle="1" w:styleId="Heading3Char">
    <w:name w:val="Heading 3 Char"/>
    <w:basedOn w:val="DefaultParagraphFont"/>
    <w:link w:val="Heading3"/>
    <w:uiPriority w:val="9"/>
    <w:rsid w:val="00E46982"/>
    <w:rPr>
      <w:rFonts w:ascii="Aptos" w:eastAsiaTheme="majorEastAsia" w:hAnsi="Aptos" w:cstheme="majorBidi"/>
      <w:b/>
      <w:color w:val="565751"/>
      <w:szCs w:val="28"/>
      <w:u w:val="single"/>
    </w:rPr>
  </w:style>
  <w:style w:type="character" w:customStyle="1" w:styleId="Heading4Char">
    <w:name w:val="Heading 4 Char"/>
    <w:basedOn w:val="DefaultParagraphFont"/>
    <w:link w:val="Heading4"/>
    <w:uiPriority w:val="9"/>
    <w:semiHidden/>
    <w:rsid w:val="00E46982"/>
    <w:rPr>
      <w:rFonts w:eastAsiaTheme="majorEastAsia" w:cstheme="majorBidi"/>
      <w:i/>
      <w:iCs/>
      <w:color w:val="0F4761" w:themeColor="accent1" w:themeShade="BF"/>
      <w:sz w:val="20"/>
      <w:szCs w:val="20"/>
    </w:rPr>
  </w:style>
  <w:style w:type="character" w:customStyle="1" w:styleId="Heading5Char">
    <w:name w:val="Heading 5 Char"/>
    <w:basedOn w:val="DefaultParagraphFont"/>
    <w:link w:val="Heading5"/>
    <w:uiPriority w:val="9"/>
    <w:semiHidden/>
    <w:rsid w:val="00E46982"/>
    <w:rPr>
      <w:rFonts w:eastAsiaTheme="majorEastAsia" w:cstheme="majorBidi"/>
      <w:color w:val="0F4761" w:themeColor="accent1" w:themeShade="BF"/>
      <w:sz w:val="20"/>
      <w:szCs w:val="20"/>
    </w:rPr>
  </w:style>
  <w:style w:type="character" w:customStyle="1" w:styleId="Heading6Char">
    <w:name w:val="Heading 6 Char"/>
    <w:basedOn w:val="DefaultParagraphFont"/>
    <w:link w:val="Heading6"/>
    <w:uiPriority w:val="9"/>
    <w:semiHidden/>
    <w:rsid w:val="00E46982"/>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E46982"/>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E46982"/>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E46982"/>
    <w:rPr>
      <w:rFonts w:eastAsiaTheme="majorEastAsia" w:cstheme="majorBidi"/>
      <w:color w:val="272727" w:themeColor="text1" w:themeTint="D8"/>
      <w:sz w:val="20"/>
      <w:szCs w:val="20"/>
    </w:rPr>
  </w:style>
  <w:style w:type="paragraph" w:styleId="Title">
    <w:name w:val="Title"/>
    <w:basedOn w:val="Normal"/>
    <w:next w:val="Normal"/>
    <w:link w:val="TitleChar"/>
    <w:uiPriority w:val="10"/>
    <w:qFormat/>
    <w:rsid w:val="00E46982"/>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46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9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9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6982"/>
    <w:rPr>
      <w:rFonts w:ascii="Calibri" w:hAnsi="Calibri" w:cs="Calibri"/>
      <w:i/>
      <w:iCs/>
      <w:color w:val="404040" w:themeColor="text1" w:themeTint="BF"/>
      <w:sz w:val="20"/>
      <w:szCs w:val="20"/>
    </w:rPr>
  </w:style>
  <w:style w:type="paragraph" w:styleId="ListParagraph">
    <w:name w:val="List Paragraph"/>
    <w:basedOn w:val="Normal"/>
    <w:uiPriority w:val="34"/>
    <w:qFormat/>
    <w:rsid w:val="00E46982"/>
    <w:pPr>
      <w:ind w:left="720"/>
      <w:contextualSpacing/>
    </w:pPr>
  </w:style>
  <w:style w:type="character" w:styleId="IntenseEmphasis">
    <w:name w:val="Intense Emphasis"/>
    <w:basedOn w:val="DefaultParagraphFont"/>
    <w:uiPriority w:val="21"/>
    <w:qFormat/>
    <w:rsid w:val="00E46982"/>
    <w:rPr>
      <w:i/>
      <w:iCs/>
      <w:color w:val="0F4761" w:themeColor="accent1" w:themeShade="BF"/>
    </w:rPr>
  </w:style>
  <w:style w:type="paragraph" w:styleId="IntenseQuote">
    <w:name w:val="Intense Quote"/>
    <w:basedOn w:val="Normal"/>
    <w:next w:val="Normal"/>
    <w:link w:val="IntenseQuoteChar"/>
    <w:uiPriority w:val="30"/>
    <w:qFormat/>
    <w:rsid w:val="00E46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982"/>
    <w:rPr>
      <w:rFonts w:ascii="Calibri" w:hAnsi="Calibri" w:cs="Calibri"/>
      <w:i/>
      <w:iCs/>
      <w:color w:val="0F4761" w:themeColor="accent1" w:themeShade="BF"/>
      <w:sz w:val="20"/>
      <w:szCs w:val="20"/>
    </w:rPr>
  </w:style>
  <w:style w:type="character" w:styleId="IntenseReference">
    <w:name w:val="Intense Reference"/>
    <w:basedOn w:val="DefaultParagraphFont"/>
    <w:uiPriority w:val="32"/>
    <w:qFormat/>
    <w:rsid w:val="00E46982"/>
    <w:rPr>
      <w:b/>
      <w:bCs/>
      <w:smallCaps/>
      <w:color w:val="0F4761" w:themeColor="accent1" w:themeShade="BF"/>
      <w:spacing w:val="5"/>
    </w:rPr>
  </w:style>
  <w:style w:type="character" w:styleId="Hyperlink">
    <w:name w:val="Hyperlink"/>
    <w:basedOn w:val="DefaultParagraphFont"/>
    <w:uiPriority w:val="99"/>
    <w:unhideWhenUsed/>
    <w:rsid w:val="00E46982"/>
    <w:rPr>
      <w:color w:val="467886" w:themeColor="hyperlink"/>
      <w:u w:val="single"/>
    </w:rPr>
  </w:style>
  <w:style w:type="paragraph" w:customStyle="1" w:styleId="Style2">
    <w:name w:val="Style2"/>
    <w:basedOn w:val="Normal"/>
    <w:link w:val="Style2Char"/>
    <w:qFormat/>
    <w:rsid w:val="00E46982"/>
    <w:pPr>
      <w:spacing w:before="120" w:after="120"/>
      <w:ind w:right="283"/>
    </w:pPr>
    <w:rPr>
      <w:rFonts w:ascii="Calibri" w:hAnsi="Calibri" w:cstheme="minorHAnsi"/>
      <w:color w:val="5F5F5F"/>
      <w:lang w:val="en-US" w:eastAsia="en-AU"/>
    </w:rPr>
  </w:style>
  <w:style w:type="character" w:customStyle="1" w:styleId="Style2Char">
    <w:name w:val="Style2 Char"/>
    <w:basedOn w:val="DefaultParagraphFont"/>
    <w:link w:val="Style2"/>
    <w:rsid w:val="00E46982"/>
    <w:rPr>
      <w:rFonts w:ascii="Calibri" w:hAnsi="Calibri" w:cstheme="minorHAnsi"/>
      <w:color w:val="5F5F5F"/>
      <w:sz w:val="20"/>
      <w:szCs w:val="20"/>
      <w:lang w:val="en-US" w:eastAsia="en-AU"/>
    </w:rPr>
  </w:style>
  <w:style w:type="paragraph" w:styleId="NoSpacing">
    <w:name w:val="No Spacing"/>
    <w:basedOn w:val="Normal"/>
    <w:autoRedefine/>
    <w:uiPriority w:val="1"/>
    <w:qFormat/>
    <w:rsid w:val="00E46982"/>
    <w:rPr>
      <w:rFonts w:ascii="Calibri" w:hAnsi="Calibri"/>
      <w:color w:val="5F5F5F"/>
      <w:lang w:val="en-US" w:eastAsia="en-AU"/>
    </w:rPr>
  </w:style>
  <w:style w:type="table" w:styleId="TableGrid">
    <w:name w:val="Table Grid"/>
    <w:basedOn w:val="TableNormal"/>
    <w:uiPriority w:val="39"/>
    <w:rsid w:val="00E469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6982"/>
    <w:rPr>
      <w:rFonts w:ascii="Calibri" w:hAnsi="Calibri"/>
    </w:rPr>
  </w:style>
  <w:style w:type="character" w:customStyle="1" w:styleId="FootnoteTextChar">
    <w:name w:val="Footnote Text Char"/>
    <w:basedOn w:val="DefaultParagraphFont"/>
    <w:link w:val="FootnoteText"/>
    <w:uiPriority w:val="99"/>
    <w:semiHidden/>
    <w:rsid w:val="00E46982"/>
    <w:rPr>
      <w:rFonts w:ascii="Calibri" w:hAnsi="Calibri" w:cs="Calibri"/>
      <w:color w:val="565751"/>
      <w:sz w:val="20"/>
      <w:szCs w:val="20"/>
    </w:rPr>
  </w:style>
  <w:style w:type="character" w:styleId="FootnoteReference">
    <w:name w:val="footnote reference"/>
    <w:basedOn w:val="DefaultParagraphFont"/>
    <w:uiPriority w:val="99"/>
    <w:semiHidden/>
    <w:unhideWhenUsed/>
    <w:rsid w:val="00E46982"/>
    <w:rPr>
      <w:vertAlign w:val="superscript"/>
    </w:rPr>
  </w:style>
  <w:style w:type="paragraph" w:styleId="Header">
    <w:name w:val="header"/>
    <w:basedOn w:val="Normal"/>
    <w:link w:val="HeaderChar"/>
    <w:uiPriority w:val="99"/>
    <w:unhideWhenUsed/>
    <w:rsid w:val="00E46982"/>
    <w:pPr>
      <w:tabs>
        <w:tab w:val="center" w:pos="4513"/>
        <w:tab w:val="right" w:pos="9026"/>
      </w:tabs>
      <w:spacing w:before="0" w:after="0"/>
    </w:pPr>
  </w:style>
  <w:style w:type="character" w:customStyle="1" w:styleId="HeaderChar">
    <w:name w:val="Header Char"/>
    <w:basedOn w:val="DefaultParagraphFont"/>
    <w:link w:val="Header"/>
    <w:uiPriority w:val="99"/>
    <w:rsid w:val="00E46982"/>
    <w:rPr>
      <w:rFonts w:ascii="Aptos" w:hAnsi="Aptos" w:cs="Calibri"/>
      <w:color w:val="565751"/>
      <w:sz w:val="20"/>
      <w:szCs w:val="20"/>
    </w:rPr>
  </w:style>
  <w:style w:type="paragraph" w:styleId="Footer">
    <w:name w:val="footer"/>
    <w:basedOn w:val="Normal"/>
    <w:link w:val="FooterChar"/>
    <w:unhideWhenUsed/>
    <w:rsid w:val="00E46982"/>
    <w:pPr>
      <w:tabs>
        <w:tab w:val="center" w:pos="4513"/>
        <w:tab w:val="right" w:pos="9026"/>
      </w:tabs>
      <w:spacing w:before="0" w:after="0"/>
    </w:pPr>
  </w:style>
  <w:style w:type="character" w:customStyle="1" w:styleId="FooterChar">
    <w:name w:val="Footer Char"/>
    <w:basedOn w:val="DefaultParagraphFont"/>
    <w:link w:val="Footer"/>
    <w:rsid w:val="00E46982"/>
    <w:rPr>
      <w:rFonts w:ascii="Aptos" w:hAnsi="Aptos" w:cs="Calibri"/>
      <w:color w:val="565751"/>
      <w:sz w:val="20"/>
      <w:szCs w:val="20"/>
    </w:rPr>
  </w:style>
  <w:style w:type="character" w:styleId="FollowedHyperlink">
    <w:name w:val="FollowedHyperlink"/>
    <w:basedOn w:val="DefaultParagraphFont"/>
    <w:uiPriority w:val="99"/>
    <w:semiHidden/>
    <w:unhideWhenUsed/>
    <w:rsid w:val="009B2182"/>
    <w:rPr>
      <w:color w:val="96607D" w:themeColor="followedHyperlink"/>
      <w:u w:val="single"/>
    </w:rPr>
  </w:style>
  <w:style w:type="character" w:styleId="UnresolvedMention">
    <w:name w:val="Unresolved Mention"/>
    <w:basedOn w:val="DefaultParagraphFont"/>
    <w:uiPriority w:val="99"/>
    <w:semiHidden/>
    <w:unhideWhenUsed/>
    <w:rsid w:val="00432937"/>
    <w:rPr>
      <w:color w:val="605E5C"/>
      <w:shd w:val="clear" w:color="auto" w:fill="E1DFDD"/>
    </w:rPr>
  </w:style>
  <w:style w:type="table" w:customStyle="1" w:styleId="GridTable1Light11">
    <w:name w:val="Grid Table 1 Light11"/>
    <w:basedOn w:val="TableNormal"/>
    <w:next w:val="GridTable1Light"/>
    <w:uiPriority w:val="46"/>
    <w:rsid w:val="00847E03"/>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847E0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086249"/>
    <w:pPr>
      <w:spacing w:after="0" w:line="240" w:lineRule="auto"/>
    </w:pPr>
    <w:rPr>
      <w:rFonts w:ascii="Aptos" w:hAnsi="Aptos" w:cs="Calibri"/>
      <w:color w:val="565751"/>
      <w:sz w:val="20"/>
      <w:szCs w:val="20"/>
    </w:rPr>
  </w:style>
  <w:style w:type="character" w:styleId="CommentReference">
    <w:name w:val="annotation reference"/>
    <w:basedOn w:val="DefaultParagraphFont"/>
    <w:uiPriority w:val="99"/>
    <w:semiHidden/>
    <w:unhideWhenUsed/>
    <w:rsid w:val="000E21B7"/>
    <w:rPr>
      <w:sz w:val="16"/>
      <w:szCs w:val="16"/>
    </w:rPr>
  </w:style>
  <w:style w:type="paragraph" w:styleId="CommentText">
    <w:name w:val="annotation text"/>
    <w:basedOn w:val="Normal"/>
    <w:link w:val="CommentTextChar"/>
    <w:uiPriority w:val="99"/>
    <w:unhideWhenUsed/>
    <w:rsid w:val="000E21B7"/>
  </w:style>
  <w:style w:type="character" w:customStyle="1" w:styleId="CommentTextChar">
    <w:name w:val="Comment Text Char"/>
    <w:basedOn w:val="DefaultParagraphFont"/>
    <w:link w:val="CommentText"/>
    <w:uiPriority w:val="99"/>
    <w:rsid w:val="000E21B7"/>
    <w:rPr>
      <w:rFonts w:ascii="Aptos" w:hAnsi="Aptos" w:cs="Calibri"/>
      <w:color w:val="565751"/>
      <w:sz w:val="20"/>
      <w:szCs w:val="20"/>
    </w:rPr>
  </w:style>
  <w:style w:type="paragraph" w:styleId="CommentSubject">
    <w:name w:val="annotation subject"/>
    <w:basedOn w:val="CommentText"/>
    <w:next w:val="CommentText"/>
    <w:link w:val="CommentSubjectChar"/>
    <w:uiPriority w:val="99"/>
    <w:semiHidden/>
    <w:unhideWhenUsed/>
    <w:rsid w:val="000E21B7"/>
    <w:rPr>
      <w:b/>
      <w:bCs/>
    </w:rPr>
  </w:style>
  <w:style w:type="character" w:customStyle="1" w:styleId="CommentSubjectChar">
    <w:name w:val="Comment Subject Char"/>
    <w:basedOn w:val="CommentTextChar"/>
    <w:link w:val="CommentSubject"/>
    <w:uiPriority w:val="99"/>
    <w:semiHidden/>
    <w:rsid w:val="000E21B7"/>
    <w:rPr>
      <w:rFonts w:ascii="Aptos" w:hAnsi="Aptos" w:cs="Calibri"/>
      <w:b/>
      <w:bCs/>
      <w:color w:val="56575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 TargetMode="External"/><Relationship Id="rId18" Type="http://schemas.openxmlformats.org/officeDocument/2006/relationships/hyperlink" Target="https://www.legislation.gov.au/F2025L01450/latest/text" TargetMode="External"/><Relationship Id="rId3" Type="http://schemas.openxmlformats.org/officeDocument/2006/relationships/customXml" Target="../customXml/item3.xml"/><Relationship Id="rId21" Type="http://schemas.openxmlformats.org/officeDocument/2006/relationships/hyperlink" Target="https://www.nopta.gov.au/forms-and-templates/petroleum-and-greenhouse-gas-forms.html" TargetMode="External"/><Relationship Id="rId7" Type="http://schemas.openxmlformats.org/officeDocument/2006/relationships/styles" Target="styles.xml"/><Relationship Id="rId12" Type="http://schemas.openxmlformats.org/officeDocument/2006/relationships/hyperlink" Target="https://www.legislation.gov.au/C2006A00014/latest/versions" TargetMode="External"/><Relationship Id="rId17" Type="http://schemas.openxmlformats.org/officeDocument/2006/relationships/hyperlink" Target="https://www.legislation.gov.au/F2023L00998/asmade/tex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org/depts/los/convention_agreements/texts/unclos/part13.htm" TargetMode="External"/><Relationship Id="rId20" Type="http://schemas.openxmlformats.org/officeDocument/2006/relationships/hyperlink" Target="mailto:ghg@nopt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ghg@nopta.gov.au" TargetMode="External"/><Relationship Id="rId10" Type="http://schemas.openxmlformats.org/officeDocument/2006/relationships/footnotes" Target="footnotes.xml"/><Relationship Id="rId19" Type="http://schemas.openxmlformats.org/officeDocument/2006/relationships/hyperlink" Target="https://www.nopta.gov.au/forms-and-templates/petroleum-and-greenhouse-gas-form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nopta.gov.au/guidelines-and-factsheets/fact-sheets.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Url xmlns="7012054d-3a07-4b40-940b-a148fc76e5c4">
      <Url>https://nopta.sharepoint.com/WST/_layouts/15/DocIdRedir.aspx?ID=NOPTANET-716839524-10999</Url>
      <Description>NOPTANET-716839524-10999</Description>
    </_dlc_DocIdUrl>
    <_dlc_DocId xmlns="7012054d-3a07-4b40-940b-a148fc76e5c4">NOPTANET-716839524-10999</_dlc_DocId>
    <_dlc_DocIdPersistId xmlns="7012054d-3a07-4b40-940b-a148fc76e5c4" xsi:nil="true"/>
    <BusinessFunction_Note xmlns="7012054d-3a07-4b40-940b-a148fc76e5c4">
      <Terms xmlns="http://schemas.microsoft.com/office/infopath/2007/PartnerControls"/>
    </BusinessFunction_Note>
    <CaveatCategory xmlns="7012054d-3a07-4b40-940b-a148fc76e5c4">DLM: For Official Use Only</CaveatCategory>
    <FormatVersion xmlns="7012054d-3a07-4b40-940b-a148fc76e5c4">2013</FormatVersion>
    <RecordKeywords xmlns="7012054d-3a07-4b40-940b-a148fc76e5c4" xsi:nil="true"/>
    <lcf76f155ced4ddcb4097134ff3c332f xmlns="0c151cca-57ff-4eaf-a1fe-17d5293d916f">
      <Terms xmlns="http://schemas.microsoft.com/office/infopath/2007/PartnerControls"/>
    </lcf76f155ced4ddcb4097134ff3c332f>
    <RightsStatement xmlns="7012054d-3a07-4b40-940b-a148fc76e5c4">NOPTA Members Only</RightsStatement>
    <CreatingApplicationVersion xmlns="7012054d-3a07-4b40-940b-a148fc76e5c4">2013</CreatingApplicationVersion>
    <DateRangeEnd xmlns="7012054d-3a07-4b40-940b-a148fc76e5c4" xsi:nil="true"/>
    <RecordLocation xmlns="7012054d-3a07-4b40-940b-a148fc76e5c4" xsi:nil="true"/>
    <AGRkMSDescription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CaveatText xmlns="7012054d-3a07-4b40-940b-a148fc76e5c4">PSPF</CaveatText>
    <SpatialCoverage xmlns="7012054d-3a07-4b40-940b-a148fc76e5c4">Commonwealth of Australia</SpatialCoverage>
    <NameScheme xmlns="7012054d-3a07-4b40-940b-a148fc76e5c4" xsi:nil="true"/>
    <m3f2ca6b2c9a4802967adedbb4af06ae xmlns="7012054d-3a07-4b40-940b-a148fc76e5c4">
      <Terms xmlns="http://schemas.microsoft.com/office/infopath/2007/PartnerControls"/>
    </m3f2ca6b2c9a4802967adedbb4af06ae>
    <RightsStatus xmlns="7012054d-3a07-4b40-940b-a148fc76e5c4">Open</RightsStatus>
    <KeywordScheme xmlns="7012054d-3a07-4b40-940b-a148fc76e5c4" xsi:nil="true"/>
    <FormatName xmlns="7012054d-3a07-4b40-940b-a148fc76e5c4">Word</FormatName>
    <RecordContactDetails xmlns="7012054d-3a07-4b40-940b-a148fc76e5c4" xsi:nil="true"/>
    <Quantity xmlns="7012054d-3a07-4b40-940b-a148fc76e5c4" xsi:nil="true"/>
    <Medium xmlns="7012054d-3a07-4b40-940b-a148fc76e5c4">Digital File</Medium>
    <DocumentForm xmlns="7012054d-3a07-4b40-940b-a148fc76e5c4" xsi:nil="true"/>
    <KeywordID xmlns="7012054d-3a07-4b40-940b-a148fc76e5c4" xsi:nil="true"/>
    <FormatRegistry xmlns="7012054d-3a07-4b40-940b-a148fc76e5c4">System generated</FormatRegistry>
    <Entity xmlns="7012054d-3a07-4b40-940b-a148fc76e5c4" xsi:nil="true"/>
    <OfNationalSignificance xmlns="7012054d-3a07-4b40-940b-a148fc76e5c4">No</OfNationalSignificance>
    <Precedence xmlns="7012054d-3a07-4b40-940b-a148fc76e5c4" xsi:nil="true"/>
    <TaxCatchAll xmlns="7012054d-3a07-4b40-940b-a148fc76e5c4">
      <Value>125</Value>
      <Value>424</Value>
    </TaxCatchAll>
    <Identifier xmlns="7012054d-3a07-4b40-940b-a148fc76e5c4">0</Identifier>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d3f18156-6d06-4b36-b33d-bc546f991cd2</TermId>
        </TermInfo>
      </Terms>
    </DocumentType_Note>
    <pfcb0be319e247388db2251ff9d23f72 xmlns="7012054d-3a07-4b40-940b-a148fc76e5c4">
      <Terms xmlns="http://schemas.microsoft.com/office/infopath/2007/PartnerControls"/>
    </pfcb0be319e247388db2251ff9d23f72>
    <AGRkMSLanguage xmlns="7012054d-3a07-4b40-940b-a148fc76e5c4">en-au</AGRkMSLanguage>
    <MessageDigest xmlns="7012054d-3a07-4b40-940b-a148fc76e5c4" xsi:nil="true"/>
    <TemporalCoverage xmlns="7012054d-3a07-4b40-940b-a148fc76e5c4" xsi:nil="true"/>
    <HashFunctionName xmlns="7012054d-3a07-4b40-940b-a148fc76e5c4">MD5</HashFunctionName>
    <DateRangeStart xmlns="7012054d-3a07-4b40-940b-a148fc76e5c4" xsi:nil="true"/>
    <AGRkMSCategory xmlns="7012054d-3a07-4b40-940b-a148fc76e5c4">Item</AGRkMSCategory>
    <JurisdictionalCoverage xmlns="7012054d-3a07-4b40-940b-a148fc76e5c4">
      <Value>Commonwealth of Australia (AU)</Value>
    </JurisdictionalCoverage>
    <RightsType xmlns="7012054d-3a07-4b40-940b-a148fc76e5c4">Use Permission</RightsType>
    <TaxKeywordTaxHTField xmlns="7012054d-3a07-4b40-940b-a148fc76e5c4">
      <Terms xmlns="http://schemas.microsoft.com/office/infopath/2007/PartnerControls"/>
    </TaxKeywordTaxHTField>
    <g91dc4f691a04421b1edf463601fabf6 xmlns="7012054d-3a07-4b40-940b-a148fc76e5c4">
      <Terms xmlns="http://schemas.microsoft.com/office/infopath/2007/PartnerControls"/>
    </g91dc4f691a04421b1edf463601fabf6>
    <KeywordSchemeType xmlns="7012054d-3a07-4b40-940b-a148fc76e5c4" xsi:nil="true"/>
    <CreatingApplicationName xmlns="7012054d-3a07-4b40-940b-a148fc76e5c4">Microsoft Word</CreatingApplicationName>
    <Units xmlns="7012054d-3a07-4b40-940b-a148fc76e5c4">KB</Units>
    <Titles_Note xmlns="7012054d-3a07-4b40-940b-a148fc76e5c4">
      <Terms xmlns="http://schemas.microsoft.com/office/infopath/2007/PartnerControls"/>
    </Titles_Note>
    <SecurityClassification xmlns="7012054d-3a07-4b40-940b-a148fc76e5c4">OFFICIAL: Sensitive</SecurityClassification>
    <Jurisdiction xmlns="7012054d-3a07-4b40-940b-a148fc76e5c4">
      <Value>AU</Value>
    </Jurisdiction>
    <IdentifierScheme xmlns="7012054d-3a07-4b40-940b-a148fc76e5c4">RecordPoint</IdentifierSche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F00607-D4F7-44B3-89F2-446E85BFDBBE}">
  <ds:schemaRefs>
    <ds:schemaRef ds:uri="http://schemas.microsoft.com/sharepoint/v3/contenttype/forms"/>
  </ds:schemaRefs>
</ds:datastoreItem>
</file>

<file path=customXml/itemProps2.xml><?xml version="1.0" encoding="utf-8"?>
<ds:datastoreItem xmlns:ds="http://schemas.openxmlformats.org/officeDocument/2006/customXml" ds:itemID="{CBD26070-C75D-4414-A0C7-3FADA079E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4D8C9-FE59-4C1D-86A4-CA2F7A8A12EC}">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4.xml><?xml version="1.0" encoding="utf-8"?>
<ds:datastoreItem xmlns:ds="http://schemas.openxmlformats.org/officeDocument/2006/customXml" ds:itemID="{D22DB7BE-90A3-4B58-A8D5-6912FFEECD7B}">
  <ds:schemaRefs>
    <ds:schemaRef ds:uri="http://schemas.openxmlformats.org/officeDocument/2006/bibliography"/>
  </ds:schemaRefs>
</ds:datastoreItem>
</file>

<file path=customXml/itemProps5.xml><?xml version="1.0" encoding="utf-8"?>
<ds:datastoreItem xmlns:ds="http://schemas.openxmlformats.org/officeDocument/2006/customXml" ds:itemID="{EF937851-4FA1-4DE1-B145-08C8E1EA063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6026</Characters>
  <Application>Microsoft Office Word</Application>
  <DocSecurity>0</DocSecurity>
  <Lines>166</Lines>
  <Paragraphs>50</Paragraphs>
  <ScaleCrop>false</ScaleCrop>
  <Company>National Offshore Petroleum Titles Administrator</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Belcher</dc:creator>
  <cp:keywords/>
  <dc:description/>
  <cp:lastModifiedBy>Lenore McGregor</cp:lastModifiedBy>
  <cp:revision>2</cp:revision>
  <dcterms:created xsi:type="dcterms:W3CDTF">2026-03-04T05:00:00Z</dcterms:created>
  <dcterms:modified xsi:type="dcterms:W3CDTF">2026-03-04T05:00:00Z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0x01010063547D135F865547B104B3688A6EB0DB1400F03BA615DEB94544B0E4AA523FDA1B39</vt:lpwstr>
  </property>
  <property fmtid="{D5CDD505-2E9C-101B-9397-08002B2CF9AE}" pid="3" name="MSIP_Label_93cd4f2a-0040-47df-a467-7cba635d669c_Enabled">
    <vt:lpwstr>true</vt:lpwstr>
  </property>
  <property fmtid="{D5CDD505-2E9C-101B-9397-08002B2CF9AE}" pid="4" name="MSIP_Label_93cd4f2a-0040-47df-a467-7cba635d669c_SetDate">
    <vt:lpwstr>2025-02-28T07:40:11Z</vt:lpwstr>
  </property>
  <property fmtid="{D5CDD505-2E9C-101B-9397-08002B2CF9AE}" pid="5" name="MSIP_Label_93cd4f2a-0040-47df-a467-7cba635d669c_Method">
    <vt:lpwstr>Standard</vt:lpwstr>
  </property>
  <property fmtid="{D5CDD505-2E9C-101B-9397-08002B2CF9AE}" pid="6" name="MSIP_Label_93cd4f2a-0040-47df-a467-7cba635d669c_Name">
    <vt:lpwstr>OFFICIAL - NOPTA</vt:lpwstr>
  </property>
  <property fmtid="{D5CDD505-2E9C-101B-9397-08002B2CF9AE}" pid="7" name="MSIP_Label_93cd4f2a-0040-47df-a467-7cba635d669c_SiteId">
    <vt:lpwstr>2940859f-ee86-4ee3-848f-02ac9eba62b2</vt:lpwstr>
  </property>
  <property fmtid="{D5CDD505-2E9C-101B-9397-08002B2CF9AE}" pid="8" name="MSIP_Label_93cd4f2a-0040-47df-a467-7cba635d669c_ActionId">
    <vt:lpwstr>30a7bcdd-65a7-4a65-bd9a-b7e1b011b8c1</vt:lpwstr>
  </property>
  <property fmtid="{D5CDD505-2E9C-101B-9397-08002B2CF9AE}" pid="9" name="MSIP_Label_93cd4f2a-0040-47df-a467-7cba635d669c_ContentBits">
    <vt:lpwstr>0</vt:lpwstr>
  </property>
  <property fmtid="{D5CDD505-2E9C-101B-9397-08002B2CF9AE}" pid="10" name="MSIP_Label_93cd4f2a-0040-47df-a467-7cba635d669c_Tag">
    <vt:lpwstr>10, 3, 0, 1</vt:lpwstr>
  </property>
  <property fmtid="{D5CDD505-2E9C-101B-9397-08002B2CF9AE}" pid="11" name="TaxKeyword">
    <vt:lpwstr/>
  </property>
  <property fmtid="{D5CDD505-2E9C-101B-9397-08002B2CF9AE}" pid="12" name="RecordPoint_RecordNumberSubmitted">
    <vt:lpwstr>R0000164496</vt:lpwstr>
  </property>
  <property fmtid="{D5CDD505-2E9C-101B-9397-08002B2CF9AE}" pid="13" name="RightsStatus">
    <vt:lpwstr>Open</vt:lpwstr>
  </property>
  <property fmtid="{D5CDD505-2E9C-101B-9397-08002B2CF9AE}" pid="14" name="Objective-Description">
    <vt:lpwstr/>
  </property>
  <property fmtid="{D5CDD505-2E9C-101B-9397-08002B2CF9AE}" pid="15" name="Objective-FileNumber">
    <vt:lpwstr>C26007</vt:lpwstr>
  </property>
  <property fmtid="{D5CDD505-2E9C-101B-9397-08002B2CF9AE}" pid="16" name="ComplianceAssetId">
    <vt:lpwstr/>
  </property>
  <property fmtid="{D5CDD505-2E9C-101B-9397-08002B2CF9AE}" pid="17" name="Objective-ModificationStamp">
    <vt:filetime>2024-06-25T07:56:49Z</vt:filetime>
  </property>
  <property fmtid="{D5CDD505-2E9C-101B-9397-08002B2CF9AE}" pid="18" name="Titles">
    <vt:lpwstr/>
  </property>
  <property fmtid="{D5CDD505-2E9C-101B-9397-08002B2CF9AE}" pid="19" name="FormatName">
    <vt:lpwstr>Word</vt:lpwstr>
  </property>
  <property fmtid="{D5CDD505-2E9C-101B-9397-08002B2CF9AE}" pid="20" name="Objective-IMM (prev DLM)">
    <vt:lpwstr/>
  </property>
  <property fmtid="{D5CDD505-2E9C-101B-9397-08002B2CF9AE}" pid="21" name="Title Type">
    <vt:lpwstr/>
  </property>
  <property fmtid="{D5CDD505-2E9C-101B-9397-08002B2CF9AE}" pid="22" name="JurisdictionalCoverage">
    <vt:lpwstr>;#Commonwealth of Australia (AU);#</vt:lpwstr>
  </property>
  <property fmtid="{D5CDD505-2E9C-101B-9397-08002B2CF9AE}" pid="23" name="Objective-Comment">
    <vt:lpwstr/>
  </property>
  <property fmtid="{D5CDD505-2E9C-101B-9397-08002B2CF9AE}" pid="24" name="RecordPoint_ActiveItemSiteId">
    <vt:lpwstr>{d02ec70a-6101-41fa-8072-ecbec6fd4fd8}</vt:lpwstr>
  </property>
  <property fmtid="{D5CDD505-2E9C-101B-9397-08002B2CF9AE}" pid="25" name="Objective-IsApproved">
    <vt:bool>false</vt:bool>
  </property>
  <property fmtid="{D5CDD505-2E9C-101B-9397-08002B2CF9AE}" pid="26" name="NodRecalculate">
    <vt:bool>false</vt:bool>
  </property>
  <property fmtid="{D5CDD505-2E9C-101B-9397-08002B2CF9AE}" pid="27" name="Objective-Duty Holders and Organisations">
    <vt:lpwstr/>
  </property>
  <property fmtid="{D5CDD505-2E9C-101B-9397-08002B2CF9AE}" pid="28" name="RecordPoint_SubmissionCompleted">
    <vt:lpwstr>2018-10-04T13:09:04.9781436+08:00</vt:lpwstr>
  </property>
  <property fmtid="{D5CDD505-2E9C-101B-9397-08002B2CF9AE}" pid="29" name="Comments">
    <vt:lpwstr/>
  </property>
  <property fmtid="{D5CDD505-2E9C-101B-9397-08002B2CF9AE}" pid="30" name="_docset_NoMedatataSyncRequired">
    <vt:lpwstr>False</vt:lpwstr>
  </property>
  <property fmtid="{D5CDD505-2E9C-101B-9397-08002B2CF9AE}" pid="31" name="Objective-Approved for External Publication">
    <vt:lpwstr>No</vt:lpwstr>
  </property>
  <property fmtid="{D5CDD505-2E9C-101B-9397-08002B2CF9AE}" pid="32" name="Offshore Region">
    <vt:lpwstr/>
  </property>
  <property fmtid="{D5CDD505-2E9C-101B-9397-08002B2CF9AE}" pid="33" name="FormatVersion">
    <vt:lpwstr>2013</vt:lpwstr>
  </property>
  <property fmtid="{D5CDD505-2E9C-101B-9397-08002B2CF9AE}" pid="34" name="Objective-Classification">
    <vt:lpwstr>[Inherited - OFFICIAL: Sensitive]</vt:lpwstr>
  </property>
  <property fmtid="{D5CDD505-2E9C-101B-9397-08002B2CF9AE}" pid="35" name="MSIP_Label_e1435138-3fd2-487f-a40f-8ee2b61234c9_ActionId">
    <vt:lpwstr>2da62e61-79ba-437f-965b-9cc561a6b67d</vt:lpwstr>
  </property>
  <property fmtid="{D5CDD505-2E9C-101B-9397-08002B2CF9AE}" pid="36" name="CreatingApplicationVersion">
    <vt:lpwstr>2013</vt:lpwstr>
  </property>
  <property fmtid="{D5CDD505-2E9C-101B-9397-08002B2CF9AE}" pid="37" name="URL">
    <vt:lpwstr/>
  </property>
  <property fmtid="{D5CDD505-2E9C-101B-9397-08002B2CF9AE}" pid="38" name="Objective-Internal Author">
    <vt:lpwstr>Peter Young</vt:lpwstr>
  </property>
  <property fmtid="{D5CDD505-2E9C-101B-9397-08002B2CF9AE}" pid="39" name="RightsStatement">
    <vt:lpwstr>NOPTA Members Only</vt:lpwstr>
  </property>
  <property fmtid="{D5CDD505-2E9C-101B-9397-08002B2CF9AE}" pid="40" name="ClassificationContentMarkingFooterShapeIds">
    <vt:lpwstr>a,b,c,d,e,f</vt:lpwstr>
  </property>
  <property fmtid="{D5CDD505-2E9C-101B-9397-08002B2CF9AE}" pid="41" name="MSIP_Label_e1435138-3fd2-487f-a40f-8ee2b61234c9_Name">
    <vt:lpwstr>e1435138-3fd2-487f-a40f-8ee2b61234c9</vt:lpwstr>
  </property>
  <property fmtid="{D5CDD505-2E9C-101B-9397-08002B2CF9AE}" pid="42" name="xd_Signature">
    <vt:bool>false</vt:bool>
  </property>
  <property fmtid="{D5CDD505-2E9C-101B-9397-08002B2CF9AE}" pid="43" name="Application Library">
    <vt:lpwstr/>
  </property>
  <property fmtid="{D5CDD505-2E9C-101B-9397-08002B2CF9AE}" pid="44" name="ClassificationContentMarkingHeaderShapeIds">
    <vt:lpwstr>3,4,5,6,8,9</vt:lpwstr>
  </property>
  <property fmtid="{D5CDD505-2E9C-101B-9397-08002B2CF9AE}" pid="45" name="Objective-CreationStamp">
    <vt:filetime>2024-06-17T05:00:00Z</vt:filetime>
  </property>
  <property fmtid="{D5CDD505-2E9C-101B-9397-08002B2CF9AE}" pid="46" name="Objective-Owner">
    <vt:lpwstr>Geoff Barker</vt:lpwstr>
  </property>
  <property fmtid="{D5CDD505-2E9C-101B-9397-08002B2CF9AE}" pid="47" name="Objective-Date of Document">
    <vt:filetime>2024-06-14T16:00:00Z</vt:filetime>
  </property>
  <property fmtid="{D5CDD505-2E9C-101B-9397-08002B2CF9AE}" pid="48" name="AssignedTo">
    <vt:lpwstr/>
  </property>
  <property fmtid="{D5CDD505-2E9C-101B-9397-08002B2CF9AE}" pid="49" name="ClassificationContentMarkingFooterFontProps">
    <vt:lpwstr>#ff0000,11,Arial</vt:lpwstr>
  </property>
  <property fmtid="{D5CDD505-2E9C-101B-9397-08002B2CF9AE}" pid="50" name="MSIP_Label_e1435138-3fd2-487f-a40f-8ee2b61234c9_Enabled">
    <vt:lpwstr>true</vt:lpwstr>
  </property>
  <property fmtid="{D5CDD505-2E9C-101B-9397-08002B2CF9AE}" pid="51" name="IdentifierScheme">
    <vt:lpwstr>RecordPoint</vt:lpwstr>
  </property>
  <property fmtid="{D5CDD505-2E9C-101B-9397-08002B2CF9AE}" pid="52" name="HashFunctionName">
    <vt:lpwstr>MD5</vt:lpwstr>
  </property>
  <property fmtid="{D5CDD505-2E9C-101B-9397-08002B2CF9AE}" pid="53" name="RecordPoint_ActiveItemWebId">
    <vt:lpwstr>{534ecb78-ceec-4263-97fc-d32ad715d31f}</vt:lpwstr>
  </property>
  <property fmtid="{D5CDD505-2E9C-101B-9397-08002B2CF9AE}" pid="54" name="Team">
    <vt:lpwstr>424;#Legislative Compliance|cb4b5b1d-0a66-42b0-ad54-d9e1e7b82ef0</vt:lpwstr>
  </property>
  <property fmtid="{D5CDD505-2E9C-101B-9397-08002B2CF9AE}" pid="55" name="TaxCatchAll">
    <vt:lpwstr>2566;#;#573;#;#6404;#;#424;#;#125;#;#2945;#;#4743;#</vt:lpwstr>
  </property>
  <property fmtid="{D5CDD505-2E9C-101B-9397-08002B2CF9AE}" pid="56" name="SpatialCoverage">
    <vt:lpwstr>Commonwealth of Australia</vt:lpwstr>
  </property>
  <property fmtid="{D5CDD505-2E9C-101B-9397-08002B2CF9AE}" pid="57" name="RecordContact">
    <vt:lpwstr/>
  </property>
  <property fmtid="{D5CDD505-2E9C-101B-9397-08002B2CF9AE}" pid="58" name="Medium">
    <vt:lpwstr>Digital File</vt:lpwstr>
  </property>
  <property fmtid="{D5CDD505-2E9C-101B-9397-08002B2CF9AE}" pid="59" name="RightsType">
    <vt:lpwstr>Use Permission</vt:lpwstr>
  </property>
  <property fmtid="{D5CDD505-2E9C-101B-9397-08002B2CF9AE}" pid="60" name="Objective-RMS ID">
    <vt:lpwstr/>
  </property>
  <property fmtid="{D5CDD505-2E9C-101B-9397-08002B2CF9AE}" pid="61" name="FormatRegistry">
    <vt:lpwstr>System generated</vt:lpwstr>
  </property>
  <property fmtid="{D5CDD505-2E9C-101B-9397-08002B2CF9AE}" pid="62" name="Objective-VersionId">
    <vt:lpwstr>vA2136278</vt:lpwstr>
  </property>
  <property fmtid="{D5CDD505-2E9C-101B-9397-08002B2CF9AE}" pid="63" name="Objective-DatePublished">
    <vt:filetime>2024-06-25T07:56:49Z</vt:filetime>
  </property>
  <property fmtid="{D5CDD505-2E9C-101B-9397-08002B2CF9AE}" pid="64" name="MSIP_Label_e1435138-3fd2-487f-a40f-8ee2b61234c9_SetDate">
    <vt:lpwstr>2022-01-20T02:50:37Z</vt:lpwstr>
  </property>
  <property fmtid="{D5CDD505-2E9C-101B-9397-08002B2CF9AE}" pid="65" name="Objective-Id">
    <vt:lpwstr>A1095976</vt:lpwstr>
  </property>
  <property fmtid="{D5CDD505-2E9C-101B-9397-08002B2CF9AE}" pid="66" name="Business Function">
    <vt:lpwstr>573;#External Guidance|b09c6caf-08fd-461c-b4ef-37c1e36f5aed</vt:lpwstr>
  </property>
  <property fmtid="{D5CDD505-2E9C-101B-9397-08002B2CF9AE}" pid="67" name="_dlc_DocIdItemGuid">
    <vt:lpwstr>7b216739-6795-4f5c-8f2f-cb52f25ddafd</vt:lpwstr>
  </property>
  <property fmtid="{D5CDD505-2E9C-101B-9397-08002B2CF9AE}" pid="68" name="MSIP_Label_e1435138-3fd2-487f-a40f-8ee2b61234c9_SiteId">
    <vt:lpwstr>2940859f-ee86-4ee3-848f-02ac9eba62b2</vt:lpwstr>
  </property>
  <property fmtid="{D5CDD505-2E9C-101B-9397-08002B2CF9AE}" pid="69" name="DocumentType">
    <vt:lpwstr>125;#Fact Sheet|d3f18156-6d06-4b36-b33d-bc546f991cd2</vt:lpwstr>
  </property>
  <property fmtid="{D5CDD505-2E9C-101B-9397-08002B2CF9AE}" pid="70" name="MSIP_Label_e1435138-3fd2-487f-a40f-8ee2b61234c9_Method">
    <vt:lpwstr>Privileged</vt:lpwstr>
  </property>
  <property fmtid="{D5CDD505-2E9C-101B-9397-08002B2CF9AE}" pid="71" name="Objective-Title">
    <vt:lpwstr>NOPTA Draft Fact Sheet Risk Assessment for NOPSEMA Review 12 June 24 - CCS Team Review</vt:lpwstr>
  </property>
  <property fmtid="{D5CDD505-2E9C-101B-9397-08002B2CF9AE}" pid="72" name="Of National Significance">
    <vt:lpwstr>No</vt:lpwstr>
  </property>
  <property fmtid="{D5CDD505-2E9C-101B-9397-08002B2CF9AE}" pid="73" name="Objective-Action History">
    <vt:lpwstr/>
  </property>
  <property fmtid="{D5CDD505-2E9C-101B-9397-08002B2CF9AE}" pid="74" name="Identifier">
    <vt:r8>0</vt:r8>
  </property>
  <property fmtid="{D5CDD505-2E9C-101B-9397-08002B2CF9AE}" pid="75" name="Objective-Monthly Injury Summary ID">
    <vt:lpwstr/>
  </property>
  <property fmtid="{D5CDD505-2E9C-101B-9397-08002B2CF9AE}" pid="76" name="TriggerFlowInfo">
    <vt:lpwstr/>
  </property>
  <property fmtid="{D5CDD505-2E9C-101B-9397-08002B2CF9AE}" pid="77" name="BusinessFunction_Note">
    <vt:lpwstr>External Guidance|b09c6caf-08fd-461c-b4ef-37c1e36f5aed</vt:lpwstr>
  </property>
  <property fmtid="{D5CDD505-2E9C-101B-9397-08002B2CF9AE}" pid="78" name="RecordPoint_ActiveItemUniqueId">
    <vt:lpwstr>{d5b71334-00e2-487a-aefc-84304204e32c}</vt:lpwstr>
  </property>
  <property fmtid="{D5CDD505-2E9C-101B-9397-08002B2CF9AE}" pid="79" name="AGRkMSCategory">
    <vt:lpwstr>Item</vt:lpwstr>
  </property>
  <property fmtid="{D5CDD505-2E9C-101B-9397-08002B2CF9AE}" pid="80" name="CreatingApplicationName">
    <vt:lpwstr>Microsoft Word</vt:lpwstr>
  </property>
  <property fmtid="{D5CDD505-2E9C-101B-9397-08002B2CF9AE}" pid="81" name="ClassificationContentMarkingFooterText">
    <vt:lpwstr>OFFICIAL</vt:lpwstr>
  </property>
  <property fmtid="{D5CDD505-2E9C-101B-9397-08002B2CF9AE}" pid="82" name="AGRkMSLanguage">
    <vt:lpwstr>en-au</vt:lpwstr>
  </property>
  <property fmtid="{D5CDD505-2E9C-101B-9397-08002B2CF9AE}" pid="83" name="Units">
    <vt:lpwstr>KB</vt:lpwstr>
  </property>
  <property fmtid="{D5CDD505-2E9C-101B-9397-08002B2CF9AE}" pid="84" name="Objective-Facility">
    <vt:lpwstr/>
  </property>
  <property fmtid="{D5CDD505-2E9C-101B-9397-08002B2CF9AE}" pid="85" name="Objective-Organisation">
    <vt:lpwstr/>
  </property>
  <property fmtid="{D5CDD505-2E9C-101B-9397-08002B2CF9AE}" pid="86" name="Order">
    <vt:r8>473900</vt:r8>
  </property>
  <property fmtid="{D5CDD505-2E9C-101B-9397-08002B2CF9AE}" pid="87" name="Team_Note">
    <vt:lpwstr>Legislative Compliance|cb4b5b1d-0a66-42b0-ad54-d9e1e7b82ef0</vt:lpwstr>
  </property>
  <property fmtid="{D5CDD505-2E9C-101B-9397-08002B2CF9AE}" pid="88" name="Objective-VersionNumber">
    <vt:r8>9</vt:r8>
  </property>
  <property fmtid="{D5CDD505-2E9C-101B-9397-08002B2CF9AE}" pid="89" name="ClassificationContentMarkingHeaderText">
    <vt:lpwstr>OFFICIAL</vt:lpwstr>
  </property>
  <property fmtid="{D5CDD505-2E9C-101B-9397-08002B2CF9AE}" pid="90" name="DocumentType_Note">
    <vt:lpwstr>Fact Sheet|d3f18156-6d06-4b36-b33d-bc546f991cd2</vt:lpwstr>
  </property>
  <property fmtid="{D5CDD505-2E9C-101B-9397-08002B2CF9AE}" pid="91" name="Objective-Path">
    <vt:lpwstr>Objective Global Folder:File Plan:Regulatory Relations:Legislation:Development of Legislative Changes:GHG Injection and Storage Regulations - Review - 2022--2024:</vt:lpwstr>
  </property>
  <property fmtid="{D5CDD505-2E9C-101B-9397-08002B2CF9AE}" pid="92" name="Objective-Caveats">
    <vt:lpwstr/>
  </property>
  <property fmtid="{D5CDD505-2E9C-101B-9397-08002B2CF9AE}" pid="93" name="Jurisdiction">
    <vt:lpwstr>;#AU;#</vt:lpwstr>
  </property>
  <property fmtid="{D5CDD505-2E9C-101B-9397-08002B2CF9AE}" pid="94" name="CaveatCategory">
    <vt:lpwstr>DLM: For Official Use Only</vt:lpwstr>
  </property>
  <property fmtid="{D5CDD505-2E9C-101B-9397-08002B2CF9AE}" pid="95" name="Objective-State">
    <vt:lpwstr>Published</vt:lpwstr>
  </property>
  <property fmtid="{D5CDD505-2E9C-101B-9397-08002B2CF9AE}" pid="96" name="MSIP_Label_e1435138-3fd2-487f-a40f-8ee2b61234c9_ContentBits">
    <vt:lpwstr>3</vt:lpwstr>
  </property>
  <property fmtid="{D5CDD505-2E9C-101B-9397-08002B2CF9AE}" pid="97" name="xd_ProgID">
    <vt:lpwstr/>
  </property>
  <property fmtid="{D5CDD505-2E9C-101B-9397-08002B2CF9AE}" pid="98" name="SecurityClassification">
    <vt:lpwstr>OFFICIAL: Sensitive</vt:lpwstr>
  </property>
  <property fmtid="{D5CDD505-2E9C-101B-9397-08002B2CF9AE}" pid="99" name="Objective-Parent">
    <vt:lpwstr>GHG Injection and Storage Regulations - Review - 2022--2024</vt:lpwstr>
  </property>
  <property fmtid="{D5CDD505-2E9C-101B-9397-08002B2CF9AE}" pid="100" name="TaxKeywordTaxHTField">
    <vt:lpwstr>2019|0d4b2025-f4d9-4859-ae2f-d0ddac03352a;Expiry|300d2a10-54c8-47ff-95c8-7042523cd3cb;Fact Sheet|c8106091-7e43-4935-8b69-58d4615415a2;Update|ac07edfc-18f8-47a4-8e88-0956e4d44938</vt:lpwstr>
  </property>
  <property fmtid="{D5CDD505-2E9C-101B-9397-08002B2CF9AE}" pid="101" name="Objective-Version">
    <vt:lpwstr>2.0</vt:lpwstr>
  </property>
  <property fmtid="{D5CDD505-2E9C-101B-9397-08002B2CF9AE}" pid="102" name="RecordPoint_WorkflowType">
    <vt:lpwstr>ActiveSubmitStub</vt:lpwstr>
  </property>
  <property fmtid="{D5CDD505-2E9C-101B-9397-08002B2CF9AE}" pid="103" name="ClassificationContentMarkingHeaderFontProps">
    <vt:lpwstr>#ff0000,11,Arial</vt:lpwstr>
  </property>
  <property fmtid="{D5CDD505-2E9C-101B-9397-08002B2CF9AE}" pid="104" name="TemplateUrl">
    <vt:lpwstr/>
  </property>
  <property fmtid="{D5CDD505-2E9C-101B-9397-08002B2CF9AE}" pid="105" name="Objective-VersionComment">
    <vt:lpwstr/>
  </property>
  <property fmtid="{D5CDD505-2E9C-101B-9397-08002B2CF9AE}" pid="106" name="CaveatText">
    <vt:lpwstr>PSPF</vt:lpwstr>
  </property>
  <property fmtid="{D5CDD505-2E9C-101B-9397-08002B2CF9AE}" pid="107" name="Objective-IsPublished">
    <vt:bool>true</vt:bool>
  </property>
  <property fmtid="{D5CDD505-2E9C-101B-9397-08002B2CF9AE}" pid="108" name="Objective-Connect Creator">
    <vt:lpwstr/>
  </property>
  <property fmtid="{D5CDD505-2E9C-101B-9397-08002B2CF9AE}" pid="109" name="RecordPoint_ActiveItemListId">
    <vt:lpwstr>{478775bc-9c4f-4f34-ba66-087519ae94a1}</vt:lpwstr>
  </property>
  <property fmtid="{D5CDD505-2E9C-101B-9397-08002B2CF9AE}" pid="110" name="NodAuthors">
    <vt:lpwstr>1317;#i:0#.f|membership|anita.cloherty@nopta.gov.au</vt:lpwstr>
  </property>
  <property fmtid="{D5CDD505-2E9C-101B-9397-08002B2CF9AE}" pid="111" name="OfNationalSignificance">
    <vt:lpwstr>No</vt:lpwstr>
  </property>
  <property fmtid="{D5CDD505-2E9C-101B-9397-08002B2CF9AE}" pid="112" name="_ExtendedDescription">
    <vt:lpwstr/>
  </property>
  <property fmtid="{D5CDD505-2E9C-101B-9397-08002B2CF9AE}" pid="113" name="NodDocumentUtility">
    <vt:lpwstr>;#External;#</vt:lpwstr>
  </property>
  <property fmtid="{D5CDD505-2E9C-101B-9397-08002B2CF9AE}" pid="114" name="NodDocumentType">
    <vt:lpwstr>Factsheet</vt:lpwstr>
  </property>
  <property fmtid="{D5CDD505-2E9C-101B-9397-08002B2CF9AE}" pid="115" name="NodCategory">
    <vt:lpwstr>Application</vt:lpwstr>
  </property>
  <property fmtid="{D5CDD505-2E9C-101B-9397-08002B2CF9AE}" pid="116" name="NodTeamOwner">
    <vt:lpwstr>Titles</vt:lpwstr>
  </property>
  <property fmtid="{D5CDD505-2E9C-101B-9397-08002B2CF9AE}" pid="117" name="NodRisk">
    <vt:lpwstr>Low</vt:lpwstr>
  </property>
  <property fmtid="{D5CDD505-2E9C-101B-9397-08002B2CF9AE}" pid="118" name="Offshore_x0020_Region">
    <vt:lpwstr/>
  </property>
  <property fmtid="{D5CDD505-2E9C-101B-9397-08002B2CF9AE}" pid="119" name="Application_x0020_Library">
    <vt:lpwstr/>
  </property>
  <property fmtid="{D5CDD505-2E9C-101B-9397-08002B2CF9AE}" pid="120" name="Title_x0020_Type">
    <vt:lpwstr/>
  </property>
  <property fmtid="{D5CDD505-2E9C-101B-9397-08002B2CF9AE}" pid="121" name="MediaServiceImageTags">
    <vt:lpwstr/>
  </property>
</Properties>
</file>