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B8DB" w14:textId="3A1F3DE1" w:rsidR="00760394" w:rsidRPr="00462302" w:rsidRDefault="00263203" w:rsidP="00AA3F93">
      <w:pPr>
        <w:pStyle w:val="Heading1"/>
        <w:spacing w:before="0"/>
      </w:pPr>
      <w:r>
        <w:t xml:space="preserve">Developing a GHG </w:t>
      </w:r>
      <w:r w:rsidR="00E11C35">
        <w:t>r</w:t>
      </w:r>
      <w:r w:rsidR="005E0D32">
        <w:t xml:space="preserve">esource </w:t>
      </w:r>
      <w:r>
        <w:t xml:space="preserve">– GHG </w:t>
      </w:r>
      <w:r w:rsidR="00E11C35">
        <w:t>holding lease application</w:t>
      </w:r>
    </w:p>
    <w:p w14:paraId="11E96AC0" w14:textId="77777777" w:rsidR="00760394" w:rsidRPr="00462302" w:rsidRDefault="00760394" w:rsidP="18388E48">
      <w:pPr>
        <w:pBdr>
          <w:bottom w:val="single" w:sz="4" w:space="1" w:color="auto"/>
        </w:pBdr>
      </w:pPr>
      <w:r w:rsidRPr="18388E48">
        <w:rPr>
          <w:lang w:eastAsia="en-AU"/>
        </w:rPr>
        <w:t xml:space="preserve">All fact sheets </w:t>
      </w:r>
      <w:r w:rsidRPr="18388E48">
        <w:t xml:space="preserve">should be read in conjunction with the </w:t>
      </w:r>
      <w:hyperlink r:id="rId12">
        <w:r w:rsidRPr="18388E48">
          <w:rPr>
            <w:rStyle w:val="Hyperlink"/>
            <w:i/>
            <w:iCs/>
          </w:rPr>
          <w:t>Offshore Petroleum and Greenhouse Gas Storage Act 2006</w:t>
        </w:r>
      </w:hyperlink>
      <w:r w:rsidRPr="18388E48">
        <w:rPr>
          <w:i/>
          <w:iCs/>
        </w:rPr>
        <w:t xml:space="preserve"> </w:t>
      </w:r>
      <w:r w:rsidRPr="18388E48">
        <w:t>(</w:t>
      </w:r>
      <w:r w:rsidRPr="18388E48">
        <w:rPr>
          <w:b/>
          <w:bCs/>
        </w:rPr>
        <w:t>the OPGGS Act</w:t>
      </w:r>
      <w:r w:rsidRPr="18388E48">
        <w:t xml:space="preserve">), associated regulations, relevant guidelines and policies (available on </w:t>
      </w:r>
      <w:hyperlink r:id="rId13">
        <w:r w:rsidRPr="18388E48">
          <w:rPr>
            <w:rStyle w:val="Hyperlink"/>
          </w:rPr>
          <w:t>NOPTA’s website</w:t>
        </w:r>
      </w:hyperlink>
      <w:r w:rsidRPr="18388E48">
        <w:t>).</w:t>
      </w:r>
    </w:p>
    <w:p w14:paraId="42B0FC46" w14:textId="77777777" w:rsidR="00760394" w:rsidRPr="00462302" w:rsidRDefault="00760394" w:rsidP="00462302">
      <w:pPr>
        <w:sectPr w:rsidR="00760394" w:rsidRPr="00462302" w:rsidSect="00AA3F9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2552" w:right="851" w:bottom="851" w:left="851" w:header="709" w:footer="454" w:gutter="0"/>
          <w:cols w:space="708"/>
          <w:docGrid w:linePitch="360"/>
        </w:sectPr>
      </w:pPr>
    </w:p>
    <w:p w14:paraId="4AD69AC2" w14:textId="3907C887" w:rsidR="007D7001" w:rsidRPr="00D04DB3" w:rsidRDefault="00263203" w:rsidP="00AA3F93">
      <w:pPr>
        <w:spacing w:after="120"/>
      </w:pPr>
      <w:r w:rsidRPr="00D04DB3">
        <w:t xml:space="preserve">This fact sheet provides information </w:t>
      </w:r>
      <w:r w:rsidR="00C46CB7" w:rsidRPr="00D04DB3">
        <w:t xml:space="preserve">on </w:t>
      </w:r>
      <w:r w:rsidRPr="00D04DB3">
        <w:t xml:space="preserve">the application </w:t>
      </w:r>
      <w:r w:rsidR="00EA4B32" w:rsidRPr="00D04DB3">
        <w:t>and assessment processes for a greenhouse gas (</w:t>
      </w:r>
      <w:r w:rsidR="00EA4B32" w:rsidRPr="00E11C35">
        <w:rPr>
          <w:rStyle w:val="Strong"/>
        </w:rPr>
        <w:t>GHG</w:t>
      </w:r>
      <w:r w:rsidR="00EA4B32" w:rsidRPr="00D04DB3">
        <w:t>) holding leas</w:t>
      </w:r>
      <w:r w:rsidR="00592787" w:rsidRPr="00D04DB3">
        <w:t>e or GHG cross-boundary holding lease</w:t>
      </w:r>
      <w:r w:rsidR="0076723D" w:rsidRPr="00D04DB3">
        <w:t xml:space="preserve"> (</w:t>
      </w:r>
      <w:r w:rsidR="0076723D" w:rsidRPr="00E11C35">
        <w:rPr>
          <w:rStyle w:val="Strong"/>
        </w:rPr>
        <w:t>GHG holding lease</w:t>
      </w:r>
      <w:r w:rsidR="0076723D" w:rsidRPr="00D04DB3">
        <w:t>)</w:t>
      </w:r>
      <w:bookmarkStart w:id="0" w:name="_Ref191546592"/>
      <w:r w:rsidR="009B002F" w:rsidRPr="00D04DB3">
        <w:t xml:space="preserve"> by:</w:t>
      </w:r>
    </w:p>
    <w:p w14:paraId="04E9EB53" w14:textId="77777777" w:rsidR="009B002F" w:rsidRPr="008E36B0" w:rsidRDefault="009B002F" w:rsidP="00AA3F93">
      <w:pPr>
        <w:pStyle w:val="bullet"/>
      </w:pPr>
      <w:r w:rsidRPr="008E36B0">
        <w:t>the holder of a GHG assessment permit or cross-boundary assessment permit (sections 324 or 329A of the OPGGS Act); or</w:t>
      </w:r>
    </w:p>
    <w:p w14:paraId="1CF576B8" w14:textId="77777777" w:rsidR="009B002F" w:rsidRPr="008E36B0" w:rsidRDefault="009B002F" w:rsidP="00AA3F93">
      <w:pPr>
        <w:pStyle w:val="bullet"/>
      </w:pPr>
      <w:r w:rsidRPr="008E36B0">
        <w:t>the holder of a GHG injection licence or cross-boundary injection licence (sections 330 or 335A of the OPGGS Act); or</w:t>
      </w:r>
    </w:p>
    <w:p w14:paraId="716C35AA" w14:textId="6159133E" w:rsidR="009B002F" w:rsidRPr="00D04DB3" w:rsidRDefault="009B002F" w:rsidP="00AA3F93">
      <w:pPr>
        <w:pStyle w:val="bullet"/>
      </w:pPr>
      <w:r w:rsidRPr="008E36B0">
        <w:t>the holder of a petroleum retention lease (section 343 of the OPGGS Act</w:t>
      </w:r>
      <w:r w:rsidR="00685B66" w:rsidRPr="00D04DB3">
        <w:t>)</w:t>
      </w:r>
    </w:p>
    <w:bookmarkEnd w:id="0"/>
    <w:p w14:paraId="0AB9C980" w14:textId="6DC21F18" w:rsidR="00D64755" w:rsidRDefault="009A02C2" w:rsidP="0063588F">
      <w:r w:rsidRPr="00D04DB3">
        <w:t>w</w:t>
      </w:r>
      <w:r w:rsidR="008B5C6C" w:rsidRPr="00D04DB3">
        <w:t xml:space="preserve">here </w:t>
      </w:r>
      <w:r w:rsidR="009B002F" w:rsidRPr="00D04DB3">
        <w:t>there is one or more declared identified GHG storage formations (</w:t>
      </w:r>
      <w:proofErr w:type="spellStart"/>
      <w:r w:rsidR="009B002F" w:rsidRPr="00AA3F93">
        <w:rPr>
          <w:rStyle w:val="Strong"/>
        </w:rPr>
        <w:t>DoSF</w:t>
      </w:r>
      <w:proofErr w:type="spellEnd"/>
      <w:r w:rsidR="009B002F" w:rsidRPr="00AA3F93">
        <w:rPr>
          <w:rStyle w:val="Strong"/>
        </w:rPr>
        <w:t>(s</w:t>
      </w:r>
      <w:r w:rsidR="009B002F" w:rsidRPr="00D04DB3">
        <w:rPr>
          <w:b/>
          <w:bCs/>
        </w:rPr>
        <w:t>)</w:t>
      </w:r>
      <w:r w:rsidR="009B002F" w:rsidRPr="00D04DB3">
        <w:t xml:space="preserve">) wholly within the permit, lease or licence area </w:t>
      </w:r>
      <w:r w:rsidR="009B002F" w:rsidRPr="00D04DB3">
        <w:rPr>
          <w:u w:val="single"/>
        </w:rPr>
        <w:t>and</w:t>
      </w:r>
      <w:r w:rsidR="009B002F" w:rsidRPr="00D04DB3">
        <w:t xml:space="preserve"> the applicant is not currently </w:t>
      </w:r>
      <w:proofErr w:type="gramStart"/>
      <w:r w:rsidR="007C6C65" w:rsidRPr="00D04DB3">
        <w:t>in a position</w:t>
      </w:r>
      <w:proofErr w:type="gramEnd"/>
      <w:r w:rsidR="007C6C65" w:rsidRPr="00D04DB3">
        <w:t xml:space="preserve"> </w:t>
      </w:r>
      <w:r w:rsidR="009B002F" w:rsidRPr="00D04DB3">
        <w:t>to inject and permanently store a GHG substance but is likely to be able to do so within 15 years.</w:t>
      </w:r>
      <w:r w:rsidR="00D64755" w:rsidRPr="00D04DB3">
        <w:t xml:space="preserve"> </w:t>
      </w:r>
    </w:p>
    <w:p w14:paraId="563BF1B1" w14:textId="7BD92F6A" w:rsidR="001323E3" w:rsidRPr="00D04DB3" w:rsidRDefault="001323E3" w:rsidP="0063588F">
      <w:r w:rsidRPr="18388E48">
        <w:t xml:space="preserve">The application should </w:t>
      </w:r>
      <w:r>
        <w:t>set out</w:t>
      </w:r>
      <w:r w:rsidRPr="18388E48">
        <w:t xml:space="preserve"> </w:t>
      </w:r>
      <w:r>
        <w:t xml:space="preserve">the </w:t>
      </w:r>
      <w:r w:rsidRPr="18388E48">
        <w:t xml:space="preserve">barriers </w:t>
      </w:r>
      <w:r>
        <w:t xml:space="preserve">to the </w:t>
      </w:r>
      <w:r w:rsidRPr="18388E48">
        <w:t xml:space="preserve">injection and permanent storage of </w:t>
      </w:r>
      <w:r>
        <w:t xml:space="preserve">a </w:t>
      </w:r>
      <w:r w:rsidRPr="18388E48">
        <w:t>GHG substance</w:t>
      </w:r>
      <w:r>
        <w:t>(s)</w:t>
      </w:r>
      <w:r w:rsidRPr="18388E48">
        <w:t xml:space="preserve"> into the DoSF</w:t>
      </w:r>
      <w:r>
        <w:t>(s)</w:t>
      </w:r>
      <w:r w:rsidR="002721C0">
        <w:t>.</w:t>
      </w:r>
    </w:p>
    <w:p w14:paraId="59CA10F8" w14:textId="7573C4FE" w:rsidR="000874D2" w:rsidRPr="00D04DB3" w:rsidRDefault="00F72030" w:rsidP="00863889">
      <w:r w:rsidRPr="00D04DB3">
        <w:rPr>
          <w:b/>
          <w:bCs/>
        </w:rPr>
        <w:t xml:space="preserve">Note: </w:t>
      </w:r>
      <w:r w:rsidRPr="00D04DB3">
        <w:t>t</w:t>
      </w:r>
      <w:r w:rsidR="007D7001" w:rsidRPr="00D04DB3">
        <w:t xml:space="preserve">his fact sheet does not </w:t>
      </w:r>
      <w:r w:rsidR="00AE4BF3" w:rsidRPr="00D04DB3">
        <w:t>cover</w:t>
      </w:r>
      <w:r w:rsidR="007D7001" w:rsidRPr="00D04DB3">
        <w:t xml:space="preserve"> application and assessment processes for a special GHG holding lease by an unsuccessful applicant for a GHG injection licence or GHG cross</w:t>
      </w:r>
      <w:r w:rsidR="00F427A0" w:rsidRPr="00D04DB3">
        <w:noBreakHyphen/>
      </w:r>
      <w:r w:rsidR="007D7001" w:rsidRPr="00D04DB3">
        <w:t xml:space="preserve">boundary injection licence (see sections 336 or 342A of the </w:t>
      </w:r>
      <w:r w:rsidR="00F427A0" w:rsidRPr="00D04DB3">
        <w:t>OPGGS</w:t>
      </w:r>
      <w:r w:rsidR="007D7001" w:rsidRPr="00D04DB3">
        <w:t xml:space="preserve"> Act).</w:t>
      </w:r>
    </w:p>
    <w:p w14:paraId="5CC126BB" w14:textId="75DFEB35" w:rsidR="00863889" w:rsidRDefault="00863889" w:rsidP="00AA3F93">
      <w:pPr>
        <w:spacing w:after="120"/>
      </w:pPr>
      <w:r w:rsidRPr="00D04DB3">
        <w:t xml:space="preserve">This fact sheet should be read in conjunction with the OPGGS Act, the </w:t>
      </w:r>
      <w:r w:rsidRPr="00D04DB3">
        <w:rPr>
          <w:i/>
          <w:iCs/>
        </w:rPr>
        <w:t xml:space="preserve">Offshore Petroleum and Greenhouse Gas Storage (Greenhouse Gas Injection and Storage) Regulations 2023 </w:t>
      </w:r>
      <w:r w:rsidRPr="00D04DB3">
        <w:t xml:space="preserve">(the </w:t>
      </w:r>
      <w:r w:rsidRPr="00AA3F93">
        <w:rPr>
          <w:rStyle w:val="Strong"/>
        </w:rPr>
        <w:t>GHG Regulations</w:t>
      </w:r>
      <w:r w:rsidRPr="00D04DB3">
        <w:t>) and the following</w:t>
      </w:r>
      <w:r>
        <w:t xml:space="preserve"> </w:t>
      </w:r>
      <w:hyperlink r:id="rId20" w:history="1">
        <w:r w:rsidRPr="00CD3D2F">
          <w:rPr>
            <w:rStyle w:val="Hyperlink"/>
          </w:rPr>
          <w:t>guidelines and fact sheets</w:t>
        </w:r>
      </w:hyperlink>
      <w:r>
        <w:t>:</w:t>
      </w:r>
    </w:p>
    <w:p w14:paraId="78F7BC88" w14:textId="77777777" w:rsidR="00863889" w:rsidRPr="00D04DB3" w:rsidRDefault="00863889" w:rsidP="00AA3F93">
      <w:pPr>
        <w:pStyle w:val="bullet"/>
        <w:numPr>
          <w:ilvl w:val="0"/>
          <w:numId w:val="18"/>
        </w:numPr>
        <w:spacing w:after="120"/>
      </w:pPr>
      <w:r w:rsidRPr="00D04DB3">
        <w:t>Guideline: Offshore greenhouse gas assessment permits – work-</w:t>
      </w:r>
      <w:proofErr w:type="gramStart"/>
      <w:r w:rsidRPr="00D04DB3">
        <w:t>bid;</w:t>
      </w:r>
      <w:proofErr w:type="gramEnd"/>
    </w:p>
    <w:p w14:paraId="53089D20" w14:textId="6E5ADF81" w:rsidR="00863889" w:rsidRPr="00D04DB3" w:rsidRDefault="00863889" w:rsidP="00AA3F93">
      <w:pPr>
        <w:pStyle w:val="bullet"/>
        <w:numPr>
          <w:ilvl w:val="0"/>
          <w:numId w:val="18"/>
        </w:numPr>
        <w:spacing w:before="0"/>
      </w:pPr>
      <w:r w:rsidRPr="00D04DB3">
        <w:t xml:space="preserve">Offshore </w:t>
      </w:r>
      <w:r w:rsidR="00E11C35" w:rsidRPr="00D04DB3">
        <w:t xml:space="preserve">greenhouse gas guideline for consolidated work-bid and cross-boundary greenhouse gas assessment </w:t>
      </w:r>
      <w:proofErr w:type="gramStart"/>
      <w:r w:rsidR="00E11C35" w:rsidRPr="00D04DB3">
        <w:t>permits</w:t>
      </w:r>
      <w:r w:rsidRPr="00D04DB3">
        <w:t>;</w:t>
      </w:r>
      <w:proofErr w:type="gramEnd"/>
    </w:p>
    <w:p w14:paraId="0C80A7E0" w14:textId="598E1439" w:rsidR="00863889" w:rsidRPr="00D04DB3" w:rsidRDefault="00863889" w:rsidP="00AA3F93">
      <w:pPr>
        <w:pStyle w:val="bullet"/>
        <w:numPr>
          <w:ilvl w:val="0"/>
          <w:numId w:val="18"/>
        </w:numPr>
      </w:pPr>
      <w:r w:rsidRPr="00D04DB3">
        <w:t xml:space="preserve">Offshore </w:t>
      </w:r>
      <w:r w:rsidR="00E11C35" w:rsidRPr="00D04DB3">
        <w:t xml:space="preserve">greenhouse gas guideline for declaration of identified greenhouse gas storage formation </w:t>
      </w:r>
      <w:r w:rsidRPr="00D04DB3">
        <w:t>(</w:t>
      </w:r>
      <w:proofErr w:type="spellStart"/>
      <w:r w:rsidRPr="00AA3F93">
        <w:rPr>
          <w:rStyle w:val="Strong"/>
        </w:rPr>
        <w:t>DoSF</w:t>
      </w:r>
      <w:proofErr w:type="spellEnd"/>
      <w:r w:rsidRPr="00AA3F93">
        <w:rPr>
          <w:rStyle w:val="Strong"/>
        </w:rPr>
        <w:t xml:space="preserve"> </w:t>
      </w:r>
      <w:r w:rsidR="008E36B0" w:rsidRPr="008E36B0">
        <w:rPr>
          <w:rStyle w:val="Strong"/>
        </w:rPr>
        <w:t>gu</w:t>
      </w:r>
      <w:r w:rsidRPr="00AA3F93">
        <w:rPr>
          <w:rStyle w:val="Strong"/>
        </w:rPr>
        <w:t>ideline</w:t>
      </w:r>
      <w:proofErr w:type="gramStart"/>
      <w:r w:rsidRPr="00D04DB3">
        <w:t>);</w:t>
      </w:r>
      <w:proofErr w:type="gramEnd"/>
      <w:r w:rsidRPr="00D04DB3">
        <w:t xml:space="preserve"> </w:t>
      </w:r>
    </w:p>
    <w:p w14:paraId="3EB4E849" w14:textId="4D02C68F" w:rsidR="00863889" w:rsidRPr="00D04DB3" w:rsidRDefault="00863889" w:rsidP="00AA3F93">
      <w:pPr>
        <w:pStyle w:val="bullet"/>
        <w:numPr>
          <w:ilvl w:val="0"/>
          <w:numId w:val="18"/>
        </w:numPr>
      </w:pPr>
      <w:r w:rsidRPr="00D04DB3">
        <w:t xml:space="preserve">Offshore </w:t>
      </w:r>
      <w:r w:rsidR="00E11C35" w:rsidRPr="00D04DB3">
        <w:t xml:space="preserve">greenhouse gas guideline for injection licences </w:t>
      </w:r>
      <w:r w:rsidRPr="00D04DB3">
        <w:t>(</w:t>
      </w:r>
      <w:r w:rsidRPr="00AA3F93">
        <w:rPr>
          <w:rStyle w:val="Strong"/>
        </w:rPr>
        <w:t xml:space="preserve">Injection </w:t>
      </w:r>
      <w:r w:rsidR="008E36B0" w:rsidRPr="008E36B0">
        <w:rPr>
          <w:rStyle w:val="Strong"/>
        </w:rPr>
        <w:t>licence guideli</w:t>
      </w:r>
      <w:r w:rsidRPr="00AA3F93">
        <w:rPr>
          <w:rStyle w:val="Strong"/>
        </w:rPr>
        <w:t>ne</w:t>
      </w:r>
      <w:proofErr w:type="gramStart"/>
      <w:r w:rsidRPr="00D04DB3">
        <w:t>);</w:t>
      </w:r>
      <w:proofErr w:type="gramEnd"/>
      <w:r w:rsidRPr="00D04DB3">
        <w:t xml:space="preserve"> </w:t>
      </w:r>
    </w:p>
    <w:p w14:paraId="3D3FFCEE" w14:textId="1657FD27" w:rsidR="00863889" w:rsidRPr="00D04DB3" w:rsidRDefault="00863889" w:rsidP="00AA3F93">
      <w:pPr>
        <w:pStyle w:val="bullet"/>
        <w:numPr>
          <w:ilvl w:val="0"/>
          <w:numId w:val="18"/>
        </w:numPr>
      </w:pPr>
      <w:r w:rsidRPr="00D04DB3">
        <w:t xml:space="preserve">Guideline: Retention </w:t>
      </w:r>
      <w:proofErr w:type="gramStart"/>
      <w:r w:rsidR="00E11C35" w:rsidRPr="00D04DB3">
        <w:t>leases</w:t>
      </w:r>
      <w:r w:rsidRPr="00D04DB3">
        <w:t>;</w:t>
      </w:r>
      <w:proofErr w:type="gramEnd"/>
    </w:p>
    <w:p w14:paraId="5957DD68" w14:textId="731EFC8B" w:rsidR="00863889" w:rsidRPr="00D04DB3" w:rsidRDefault="00863889" w:rsidP="00AA3F93">
      <w:pPr>
        <w:pStyle w:val="bullet"/>
        <w:numPr>
          <w:ilvl w:val="0"/>
          <w:numId w:val="18"/>
        </w:numPr>
      </w:pPr>
      <w:r w:rsidRPr="00D04DB3">
        <w:t xml:space="preserve">Significant </w:t>
      </w:r>
      <w:r w:rsidR="00E11C35" w:rsidRPr="00D04DB3">
        <w:t xml:space="preserve">risk of a significant adverse impact </w:t>
      </w:r>
      <w:r w:rsidRPr="00D04DB3">
        <w:t>(</w:t>
      </w:r>
      <w:r w:rsidRPr="008E36B0">
        <w:rPr>
          <w:rStyle w:val="Strong"/>
        </w:rPr>
        <w:t>SROSAI</w:t>
      </w:r>
      <w:r w:rsidRPr="00D04DB3">
        <w:t>) fact sheet (</w:t>
      </w:r>
      <w:r w:rsidRPr="008E36B0">
        <w:rPr>
          <w:rStyle w:val="Strong"/>
        </w:rPr>
        <w:t xml:space="preserve">SROSAI </w:t>
      </w:r>
      <w:r w:rsidR="008E36B0" w:rsidRPr="008E36B0">
        <w:rPr>
          <w:rStyle w:val="Strong"/>
        </w:rPr>
        <w:t>fact sheet</w:t>
      </w:r>
      <w:r w:rsidRPr="00D04DB3">
        <w:t>);</w:t>
      </w:r>
      <w:r w:rsidR="00C41037" w:rsidRPr="00D04DB3">
        <w:t xml:space="preserve"> and</w:t>
      </w:r>
    </w:p>
    <w:p w14:paraId="4BC37395" w14:textId="525A8DFA" w:rsidR="00640810" w:rsidRPr="00D04DB3" w:rsidRDefault="00E11C35" w:rsidP="00AA3F93">
      <w:pPr>
        <w:pStyle w:val="bullet"/>
        <w:numPr>
          <w:ilvl w:val="0"/>
          <w:numId w:val="18"/>
        </w:numPr>
      </w:pPr>
      <w:r>
        <w:t xml:space="preserve">the related forms guidance available on </w:t>
      </w:r>
      <w:hyperlink r:id="rId21" w:history="1">
        <w:r w:rsidRPr="00431F5A">
          <w:rPr>
            <w:rStyle w:val="Hyperlink"/>
          </w:rPr>
          <w:t>NOPTA’s website</w:t>
        </w:r>
      </w:hyperlink>
      <w:r w:rsidR="00863889" w:rsidRPr="00D04DB3">
        <w:t>.</w:t>
      </w:r>
    </w:p>
    <w:p w14:paraId="2D3271BA" w14:textId="77777777" w:rsidR="00E11750" w:rsidRPr="00CB0755" w:rsidRDefault="00C531D9" w:rsidP="00AA3F93">
      <w:pPr>
        <w:spacing w:before="240"/>
        <w:rPr>
          <w:b/>
        </w:rPr>
      </w:pPr>
      <w:r w:rsidRPr="00CB0755">
        <w:t xml:space="preserve">Further information </w:t>
      </w:r>
      <w:r w:rsidR="00AB1A03" w:rsidRPr="00CB0755">
        <w:t xml:space="preserve">on </w:t>
      </w:r>
      <w:r w:rsidR="00B42A06" w:rsidRPr="00CB0755">
        <w:t xml:space="preserve">applications for GHG </w:t>
      </w:r>
      <w:r w:rsidR="006D59AF" w:rsidRPr="00CB0755">
        <w:t xml:space="preserve">holding leases and related matters </w:t>
      </w:r>
      <w:r w:rsidRPr="00CB0755">
        <w:t xml:space="preserve">will be provided in a future </w:t>
      </w:r>
      <w:r w:rsidR="00703E97" w:rsidRPr="00CB0755">
        <w:t xml:space="preserve">Offshore Greenhouse Gas Guideline for </w:t>
      </w:r>
      <w:r w:rsidR="00AB2E35" w:rsidRPr="00CB0755">
        <w:t>Holding Leases</w:t>
      </w:r>
      <w:r w:rsidRPr="00CB0755">
        <w:t>.</w:t>
      </w:r>
      <w:r w:rsidR="10D10DCE" w:rsidRPr="00CB0755">
        <w:t xml:space="preserve"> </w:t>
      </w:r>
    </w:p>
    <w:p w14:paraId="4AE7A626" w14:textId="622F84D7" w:rsidR="000A3D27" w:rsidRPr="00AC2B3A" w:rsidRDefault="000E5C92" w:rsidP="00B718A5">
      <w:pPr>
        <w:pStyle w:val="Heading2"/>
      </w:pPr>
      <w:r w:rsidRPr="00AC2B3A">
        <w:t xml:space="preserve">When </w:t>
      </w:r>
      <w:r w:rsidRPr="004F0E36">
        <w:t>can</w:t>
      </w:r>
      <w:r w:rsidRPr="00AC2B3A">
        <w:t xml:space="preserve"> I apply?</w:t>
      </w:r>
    </w:p>
    <w:p w14:paraId="3F14496C" w14:textId="4B1DB805" w:rsidR="008C37A7" w:rsidRPr="004F0E36" w:rsidRDefault="000E5C92" w:rsidP="00106ADC">
      <w:r w:rsidRPr="004F0E36">
        <w:t>Different a</w:t>
      </w:r>
      <w:r w:rsidR="00106ADC" w:rsidRPr="004F0E36">
        <w:t>pplication periods apply</w:t>
      </w:r>
      <w:r w:rsidR="00951BC4" w:rsidRPr="004F0E36">
        <w:t>,</w:t>
      </w:r>
      <w:r w:rsidR="00106ADC" w:rsidRPr="004F0E36">
        <w:t xml:space="preserve"> as </w:t>
      </w:r>
      <w:r w:rsidR="0089591E" w:rsidRPr="004F0E36">
        <w:t>outlined below.</w:t>
      </w:r>
    </w:p>
    <w:p w14:paraId="75F70B43" w14:textId="68C33A68" w:rsidR="008F506B" w:rsidRPr="004F0E36" w:rsidRDefault="00657B48" w:rsidP="008F506B">
      <w:r w:rsidRPr="00AA3F93">
        <w:rPr>
          <w:rStyle w:val="Strong"/>
        </w:rPr>
        <w:t>Note:</w:t>
      </w:r>
      <w:r w:rsidRPr="004F0E36">
        <w:rPr>
          <w:b/>
          <w:bCs/>
        </w:rPr>
        <w:t xml:space="preserve"> </w:t>
      </w:r>
      <w:r w:rsidR="00917339" w:rsidRPr="004F0E36">
        <w:t>the application</w:t>
      </w:r>
      <w:r w:rsidRPr="004F0E36">
        <w:t xml:space="preserve"> </w:t>
      </w:r>
      <w:r w:rsidR="00BE2448" w:rsidRPr="004F0E36">
        <w:t xml:space="preserve">must be validly submitted before the </w:t>
      </w:r>
      <w:r w:rsidR="00525CCF" w:rsidRPr="004F0E36">
        <w:t xml:space="preserve">last application date. </w:t>
      </w:r>
      <w:r w:rsidRPr="004F0E36">
        <w:t xml:space="preserve">NOPTA recommends applying </w:t>
      </w:r>
      <w:r w:rsidRPr="004F0E36">
        <w:rPr>
          <w:u w:val="single"/>
        </w:rPr>
        <w:t>at least</w:t>
      </w:r>
      <w:r w:rsidRPr="004F0E36">
        <w:t xml:space="preserve"> two weeks prior to the last application date to allow adequate time to determine if the application submission is valid (see also</w:t>
      </w:r>
      <w:r>
        <w:t xml:space="preserve"> </w:t>
      </w:r>
      <w:hyperlink w:anchor="_Step_2_–" w:history="1">
        <w:r w:rsidRPr="00CE0E33">
          <w:rPr>
            <w:rStyle w:val="Hyperlink"/>
          </w:rPr>
          <w:t>‘Step 2 –</w:t>
        </w:r>
        <w:r w:rsidR="00F93AFA">
          <w:rPr>
            <w:rStyle w:val="Hyperlink"/>
          </w:rPr>
          <w:t xml:space="preserve"> </w:t>
        </w:r>
        <w:r w:rsidRPr="00CE0E33">
          <w:rPr>
            <w:rStyle w:val="Hyperlink"/>
          </w:rPr>
          <w:t>GHG holding lease application’</w:t>
        </w:r>
      </w:hyperlink>
      <w:r>
        <w:t xml:space="preserve"> </w:t>
      </w:r>
      <w:r w:rsidRPr="004F0E36">
        <w:t>below).</w:t>
      </w:r>
    </w:p>
    <w:p w14:paraId="30774610" w14:textId="7AE0A77D" w:rsidR="00A23D2C" w:rsidRDefault="00580E8A" w:rsidP="00EC3330">
      <w:pPr>
        <w:spacing w:before="0" w:after="0"/>
        <w:rPr>
          <w:bCs/>
        </w:rPr>
      </w:pPr>
      <w:r w:rsidRPr="00AA3F93">
        <w:rPr>
          <w:rStyle w:val="Strong"/>
        </w:rPr>
        <w:t>Holder of a GHG assessment permit or cross</w:t>
      </w:r>
      <w:r w:rsidRPr="00AA3F93">
        <w:rPr>
          <w:rStyle w:val="Strong"/>
        </w:rPr>
        <w:noBreakHyphen/>
        <w:t>boundary assessment permit:</w:t>
      </w:r>
      <w:r w:rsidRPr="004F0E36">
        <w:t xml:space="preserve">  </w:t>
      </w:r>
      <w:r w:rsidR="00E15361" w:rsidRPr="004F0E36">
        <w:rPr>
          <w:bCs/>
        </w:rPr>
        <w:t>The application period for the holder of a GHG assessment permit or cross-boundary assessment permit</w:t>
      </w:r>
      <w:r w:rsidR="00353DA7" w:rsidRPr="004F0E36">
        <w:rPr>
          <w:bCs/>
        </w:rPr>
        <w:t>,</w:t>
      </w:r>
      <w:r w:rsidR="00E15361" w:rsidRPr="004F0E36">
        <w:rPr>
          <w:bCs/>
        </w:rPr>
        <w:t xml:space="preserve"> </w:t>
      </w:r>
      <w:r w:rsidR="00F47015" w:rsidRPr="004F0E36">
        <w:rPr>
          <w:bCs/>
        </w:rPr>
        <w:t>with a single DoSF is 12 months after the day on which the DoSF was</w:t>
      </w:r>
      <w:r w:rsidR="00B60F70" w:rsidRPr="004F0E36">
        <w:rPr>
          <w:bCs/>
        </w:rPr>
        <w:t xml:space="preserve"> </w:t>
      </w:r>
    </w:p>
    <w:p w14:paraId="3A924952" w14:textId="1913B452" w:rsidR="00EC3330" w:rsidRPr="004F0E36" w:rsidRDefault="00EC3330" w:rsidP="00EC3330">
      <w:pPr>
        <w:spacing w:before="0" w:after="0"/>
      </w:pPr>
      <w:r w:rsidRPr="004F0E36">
        <w:rPr>
          <w:bCs/>
        </w:rPr>
        <w:t>declared.</w:t>
      </w:r>
      <w:r w:rsidRPr="004F0E36">
        <w:rPr>
          <w:rStyle w:val="FootnoteReference"/>
          <w:bCs/>
        </w:rPr>
        <w:footnoteReference w:id="2"/>
      </w:r>
      <w:r w:rsidRPr="004F0E36">
        <w:rPr>
          <w:bCs/>
        </w:rPr>
        <w:t xml:space="preserve"> If there are multiple DoSFs, the application period is 12 months after the earliest day on which a DoSF was declared (see subsections 324(8) and 329A(8) of the OPGGS Act and</w:t>
      </w:r>
      <w:r w:rsidRPr="00F7612B">
        <w:rPr>
          <w:bCs/>
        </w:rPr>
        <w:t xml:space="preserve"> </w:t>
      </w:r>
      <w:hyperlink w:anchor="MultipleDoSFs" w:history="1">
        <w:r w:rsidRPr="00F7612B">
          <w:rPr>
            <w:rStyle w:val="Hyperlink"/>
            <w:bCs/>
          </w:rPr>
          <w:t>‘Multiple DoSFs within a single relevant GHG title or petroleum retention lease’</w:t>
        </w:r>
      </w:hyperlink>
      <w:r w:rsidRPr="00F7612B">
        <w:rPr>
          <w:bCs/>
        </w:rPr>
        <w:t xml:space="preserve"> </w:t>
      </w:r>
      <w:r w:rsidRPr="004F0E36">
        <w:rPr>
          <w:bCs/>
        </w:rPr>
        <w:t>below).</w:t>
      </w:r>
    </w:p>
    <w:p w14:paraId="52A12EB0" w14:textId="25084A34" w:rsidR="00467CD7" w:rsidRDefault="009C6DAE" w:rsidP="4304D961">
      <w:r w:rsidRPr="004F0E36">
        <w:lastRenderedPageBreak/>
        <w:t>The ap</w:t>
      </w:r>
      <w:r w:rsidR="00050D6D" w:rsidRPr="004F0E36">
        <w:t>plication period</w:t>
      </w:r>
      <w:r w:rsidR="002B7346" w:rsidRPr="004F0E36">
        <w:t xml:space="preserve"> </w:t>
      </w:r>
      <w:r w:rsidR="00050D6D" w:rsidRPr="004F0E36">
        <w:t xml:space="preserve">may be extended for a period of no more than 180 days </w:t>
      </w:r>
      <w:r w:rsidR="000F5B6E" w:rsidRPr="004F0E36">
        <w:t>(</w:t>
      </w:r>
      <w:r w:rsidR="00A44A4B" w:rsidRPr="004F0E36">
        <w:t>see paragraphs</w:t>
      </w:r>
      <w:r w:rsidR="000F5B6E" w:rsidRPr="004F0E36">
        <w:t xml:space="preserve"> </w:t>
      </w:r>
      <w:r w:rsidR="005429A1" w:rsidRPr="004F0E36">
        <w:t>324(8)</w:t>
      </w:r>
      <w:r w:rsidR="00A92673" w:rsidRPr="004F0E36">
        <w:t>(b)</w:t>
      </w:r>
      <w:r w:rsidR="00765359" w:rsidRPr="004F0E36">
        <w:t>,</w:t>
      </w:r>
      <w:r w:rsidR="00C127B0" w:rsidRPr="004F0E36">
        <w:t xml:space="preserve"> </w:t>
      </w:r>
      <w:r w:rsidR="0094468D" w:rsidRPr="004F0E36">
        <w:t>329A</w:t>
      </w:r>
      <w:r w:rsidR="00C32984" w:rsidRPr="004F0E36">
        <w:t>(</w:t>
      </w:r>
      <w:r w:rsidR="001B3B26" w:rsidRPr="004F0E36">
        <w:t>8)</w:t>
      </w:r>
      <w:r w:rsidR="00A92673" w:rsidRPr="004F0E36">
        <w:t>(b)</w:t>
      </w:r>
      <w:r w:rsidR="00765359" w:rsidRPr="004F0E36">
        <w:t xml:space="preserve"> and subsections </w:t>
      </w:r>
      <w:r w:rsidR="00B166D6" w:rsidRPr="004F0E36">
        <w:t xml:space="preserve">324(9) and </w:t>
      </w:r>
      <w:r w:rsidR="00BF2CD4" w:rsidRPr="004F0E36">
        <w:t>329</w:t>
      </w:r>
      <w:r w:rsidR="00E808F9" w:rsidRPr="004F0E36">
        <w:t>A(9)</w:t>
      </w:r>
      <w:r w:rsidR="00A92673" w:rsidRPr="004F0E36">
        <w:t xml:space="preserve"> </w:t>
      </w:r>
      <w:r w:rsidR="009F3646" w:rsidRPr="004F0E36">
        <w:t>of the</w:t>
      </w:r>
      <w:r w:rsidR="001B3B26" w:rsidRPr="004F0E36">
        <w:t xml:space="preserve"> OPGGS Act</w:t>
      </w:r>
      <w:r w:rsidR="0034426C" w:rsidRPr="004F0E36">
        <w:t>)</w:t>
      </w:r>
      <w:r w:rsidR="00237015" w:rsidRPr="004F0E36">
        <w:t>.</w:t>
      </w:r>
      <w:r w:rsidR="0046759B" w:rsidRPr="004F0E36">
        <w:t xml:space="preserve"> </w:t>
      </w:r>
      <w:r w:rsidR="002312D6" w:rsidRPr="004F0E36">
        <w:t>An</w:t>
      </w:r>
      <w:r w:rsidR="00710CB6" w:rsidRPr="004F0E36">
        <w:t xml:space="preserve"> ‘</w:t>
      </w:r>
      <w:r w:rsidR="00710CB6" w:rsidRPr="00AA3F93">
        <w:rPr>
          <w:rStyle w:val="Emphasis"/>
        </w:rPr>
        <w:t>Extension of application period for a greenhouse gas holding lease</w:t>
      </w:r>
      <w:r w:rsidR="00710CB6" w:rsidRPr="004F0E36">
        <w:t xml:space="preserve">’ </w:t>
      </w:r>
      <w:r w:rsidR="002312D6" w:rsidRPr="004F0E36">
        <w:t xml:space="preserve">application </w:t>
      </w:r>
      <w:r w:rsidR="00710CB6" w:rsidRPr="004F0E36">
        <w:t>form</w:t>
      </w:r>
      <w:r w:rsidR="00C273CA" w:rsidRPr="004F0E36">
        <w:t xml:space="preserve"> and </w:t>
      </w:r>
      <w:r w:rsidR="00E11C35">
        <w:t xml:space="preserve">the related forms guidance </w:t>
      </w:r>
      <w:r w:rsidR="006C51B5" w:rsidRPr="004F0E36">
        <w:t>are</w:t>
      </w:r>
      <w:r w:rsidR="0007454D" w:rsidRPr="004F0E36">
        <w:t xml:space="preserve"> </w:t>
      </w:r>
      <w:r w:rsidR="00710CB6" w:rsidRPr="004F0E36">
        <w:t xml:space="preserve">available </w:t>
      </w:r>
      <w:r w:rsidR="00F45931" w:rsidRPr="004F0E36">
        <w:t>on</w:t>
      </w:r>
      <w:r w:rsidR="00F45931">
        <w:t xml:space="preserve"> </w:t>
      </w:r>
      <w:hyperlink r:id="rId22">
        <w:r w:rsidR="00F45931" w:rsidRPr="4304D961">
          <w:rPr>
            <w:rStyle w:val="Hyperlink"/>
          </w:rPr>
          <w:t>NOPTA’s website</w:t>
        </w:r>
      </w:hyperlink>
      <w:r w:rsidR="001B3B26">
        <w:t>)</w:t>
      </w:r>
      <w:r w:rsidR="00487478">
        <w:t>.</w:t>
      </w:r>
      <w:r>
        <w:t xml:space="preserve"> </w:t>
      </w:r>
    </w:p>
    <w:p w14:paraId="0F5FE0E8" w14:textId="4067F62D" w:rsidR="00DC75A2" w:rsidRDefault="00580E8A" w:rsidP="00AA3F93">
      <w:r w:rsidRPr="00AA3F93">
        <w:rPr>
          <w:rStyle w:val="Strong"/>
        </w:rPr>
        <w:t>Holder of a GHG injection licence or cross-boundary injection licence:</w:t>
      </w:r>
      <w:r>
        <w:t xml:space="preserve"> </w:t>
      </w:r>
      <w:r w:rsidR="003C5711" w:rsidRPr="00F7612B">
        <w:t>T</w:t>
      </w:r>
      <w:r w:rsidR="008C780A" w:rsidRPr="00F7612B">
        <w:t xml:space="preserve">he application period is 5 years </w:t>
      </w:r>
      <w:r w:rsidR="002D407E" w:rsidRPr="00F7612B">
        <w:t>from</w:t>
      </w:r>
      <w:r w:rsidR="008C780A" w:rsidRPr="00F7612B">
        <w:t xml:space="preserve"> the day the licence was granted (see subsections 330(3) and </w:t>
      </w:r>
      <w:r w:rsidR="002D407E" w:rsidRPr="00F7612B">
        <w:t>335A(3) of the OPGGS Act).</w:t>
      </w:r>
    </w:p>
    <w:p w14:paraId="44EDC312" w14:textId="24A4A690" w:rsidR="002354B2" w:rsidRDefault="00FB3D6D" w:rsidP="00AA3F93">
      <w:r w:rsidRPr="00AA3F93">
        <w:rPr>
          <w:rStyle w:val="Strong"/>
        </w:rPr>
        <w:t xml:space="preserve">Holder of a petroleum retention lease: </w:t>
      </w:r>
      <w:r w:rsidR="00043D30" w:rsidRPr="00F7612B">
        <w:t xml:space="preserve">An </w:t>
      </w:r>
      <w:r w:rsidR="005850FF" w:rsidRPr="00F7612B">
        <w:t xml:space="preserve">application </w:t>
      </w:r>
      <w:r w:rsidR="00B30B49" w:rsidRPr="00F7612B">
        <w:t xml:space="preserve">for </w:t>
      </w:r>
      <w:r w:rsidR="00043D30" w:rsidRPr="00F7612B">
        <w:t xml:space="preserve">a </w:t>
      </w:r>
      <w:r w:rsidR="00B30B49" w:rsidRPr="00F7612B">
        <w:t>GHG holding lease</w:t>
      </w:r>
      <w:r w:rsidR="008E6387" w:rsidRPr="00F7612B">
        <w:t xml:space="preserve"> </w:t>
      </w:r>
      <w:r w:rsidR="00206402" w:rsidRPr="00F7612B">
        <w:t>must be made while the petroleum retention lease is in force</w:t>
      </w:r>
      <w:r w:rsidR="008973D7" w:rsidRPr="00F7612B">
        <w:t xml:space="preserve"> (see subsection </w:t>
      </w:r>
      <w:r w:rsidR="00452803" w:rsidRPr="00F7612B">
        <w:t>343(1) of the OPGGS Act)</w:t>
      </w:r>
      <w:r w:rsidR="00206402" w:rsidRPr="00F7612B">
        <w:t>.</w:t>
      </w:r>
      <w:r w:rsidR="00A925DE" w:rsidRPr="00F7612B">
        <w:rPr>
          <w:rStyle w:val="FootnoteReference"/>
          <w:bCs/>
        </w:rPr>
        <w:footnoteReference w:id="3"/>
      </w:r>
      <w:r w:rsidR="008E6387">
        <w:t xml:space="preserve"> </w:t>
      </w:r>
    </w:p>
    <w:p w14:paraId="72D1F3CE" w14:textId="3FB5C651" w:rsidR="00760394" w:rsidRPr="00462302" w:rsidRDefault="002A5698" w:rsidP="00B718A5">
      <w:pPr>
        <w:pStyle w:val="Heading2"/>
      </w:pPr>
      <w:bookmarkStart w:id="1" w:name="_What_is_the"/>
      <w:bookmarkEnd w:id="1"/>
      <w:r>
        <w:t>What is the application and assessment process?</w:t>
      </w:r>
    </w:p>
    <w:p w14:paraId="3444D5A7" w14:textId="2C43BFDF" w:rsidR="00467951" w:rsidRPr="004F0E36" w:rsidRDefault="00467951" w:rsidP="007E67F1">
      <w:pPr>
        <w:pStyle w:val="Heading3"/>
      </w:pPr>
      <w:r w:rsidRPr="004F0E36">
        <w:t>Step 1 – engage with NOPTA</w:t>
      </w:r>
    </w:p>
    <w:p w14:paraId="18DB66DC" w14:textId="3A104E8B" w:rsidR="00760394" w:rsidRDefault="00A510FD" w:rsidP="18388E48">
      <w:r w:rsidRPr="004F0E36">
        <w:t xml:space="preserve">Before a titleholder </w:t>
      </w:r>
      <w:r w:rsidR="007C6C65" w:rsidRPr="004F0E36">
        <w:t xml:space="preserve">who holds a title with </w:t>
      </w:r>
      <w:r w:rsidRPr="004F0E36">
        <w:t xml:space="preserve">one or more DoSFs </w:t>
      </w:r>
      <w:r w:rsidR="007C6C65" w:rsidRPr="004F0E36">
        <w:t>wholly situat</w:t>
      </w:r>
      <w:r w:rsidR="008535AC" w:rsidRPr="004F0E36">
        <w:t>e</w:t>
      </w:r>
      <w:r w:rsidR="007C6C65" w:rsidRPr="004F0E36">
        <w:t xml:space="preserve">d in the title area </w:t>
      </w:r>
      <w:r w:rsidRPr="004F0E36">
        <w:t>submits an application for a GHG holding lease</w:t>
      </w:r>
      <w:r w:rsidR="0042179A" w:rsidRPr="004F0E36">
        <w:t>,</w:t>
      </w:r>
      <w:r w:rsidRPr="004F0E36">
        <w:t xml:space="preserve"> </w:t>
      </w:r>
      <w:r w:rsidR="001E7DB1" w:rsidRPr="004F0E36">
        <w:t>we recommend that</w:t>
      </w:r>
      <w:r w:rsidR="005D366C" w:rsidRPr="004F0E36">
        <w:t xml:space="preserve"> the </w:t>
      </w:r>
      <w:r w:rsidRPr="004F0E36">
        <w:t xml:space="preserve"> titleholder engage</w:t>
      </w:r>
      <w:r w:rsidR="007C18E6" w:rsidRPr="004F0E36">
        <w:t xml:space="preserve"> with</w:t>
      </w:r>
      <w:r w:rsidRPr="004F0E36">
        <w:t xml:space="preserve"> NOPTA</w:t>
      </w:r>
      <w:r w:rsidR="005D366C" w:rsidRPr="004F0E36">
        <w:t>, initially</w:t>
      </w:r>
      <w:r w:rsidR="00A176DF" w:rsidRPr="004F0E36">
        <w:t xml:space="preserve"> via</w:t>
      </w:r>
      <w:r w:rsidR="00A176DF">
        <w:t xml:space="preserve"> </w:t>
      </w:r>
      <w:hyperlink r:id="rId23" w:history="1">
        <w:r w:rsidR="00F817D8" w:rsidRPr="00104D69">
          <w:rPr>
            <w:rStyle w:val="Hyperlink"/>
          </w:rPr>
          <w:t>ghg@nopta.gov.au</w:t>
        </w:r>
      </w:hyperlink>
      <w:r w:rsidR="00B32B2A">
        <w:t xml:space="preserve"> to discuss the approvals </w:t>
      </w:r>
      <w:r w:rsidR="00ED31F7">
        <w:t>process, and the information to be included in an application (see below).</w:t>
      </w:r>
    </w:p>
    <w:p w14:paraId="19A851D6" w14:textId="410EB370" w:rsidR="002B308E" w:rsidRDefault="002B308E" w:rsidP="008E36B0">
      <w:pPr>
        <w:pStyle w:val="Heading3"/>
      </w:pPr>
      <w:r>
        <w:t>Step 2 –</w:t>
      </w:r>
      <w:r w:rsidR="00FD4646">
        <w:t xml:space="preserve"> </w:t>
      </w:r>
      <w:r w:rsidRPr="008E36B0">
        <w:t>GHG</w:t>
      </w:r>
      <w:r>
        <w:t xml:space="preserve"> holding lease application</w:t>
      </w:r>
    </w:p>
    <w:p w14:paraId="695836A3" w14:textId="7B3AA1C8" w:rsidR="002B308E" w:rsidRDefault="004B71FA" w:rsidP="00AA3F93">
      <w:pPr>
        <w:spacing w:after="120"/>
      </w:pPr>
      <w:r w:rsidRPr="00AA3F93">
        <w:rPr>
          <w:rStyle w:val="Strong"/>
        </w:rPr>
        <w:t>Valid Submission:</w:t>
      </w:r>
      <w:r>
        <w:t xml:space="preserve"> </w:t>
      </w:r>
      <w:r w:rsidR="002B308E" w:rsidRPr="18388E48">
        <w:t>For an application</w:t>
      </w:r>
      <w:r w:rsidR="000A232D">
        <w:t xml:space="preserve"> </w:t>
      </w:r>
      <w:r w:rsidR="002B308E" w:rsidRPr="18388E48">
        <w:t>to be validly submitted</w:t>
      </w:r>
      <w:r w:rsidR="001377F1">
        <w:t>,</w:t>
      </w:r>
      <w:r w:rsidR="002B308E" w:rsidRPr="18388E48">
        <w:t xml:space="preserve"> it must be:</w:t>
      </w:r>
    </w:p>
    <w:p w14:paraId="156AE968" w14:textId="77777777" w:rsidR="009408DE" w:rsidRPr="004F0E36" w:rsidRDefault="00A13C7A" w:rsidP="00AA3F93">
      <w:pPr>
        <w:pStyle w:val="bullet"/>
        <w:numPr>
          <w:ilvl w:val="0"/>
          <w:numId w:val="17"/>
        </w:numPr>
      </w:pPr>
      <w:r w:rsidRPr="004F0E36">
        <w:t xml:space="preserve">made </w:t>
      </w:r>
      <w:r w:rsidR="002B308E" w:rsidRPr="004F0E36">
        <w:t xml:space="preserve">in the approved manner (section 426 of the OPGGS Act) </w:t>
      </w:r>
      <w:r w:rsidR="009E2E81" w:rsidRPr="004F0E36">
        <w:t xml:space="preserve">and be </w:t>
      </w:r>
      <w:r w:rsidR="002B308E" w:rsidRPr="004F0E36">
        <w:t>in the approved form (paragraphs 324(7)(a), 329A(7)(a), 330(2)(a), 335A(2)(a) and 343(2)(a) of the OPGGS Act</w:t>
      </w:r>
      <w:proofErr w:type="gramStart"/>
      <w:r w:rsidR="002B308E" w:rsidRPr="004F0E36">
        <w:t>)</w:t>
      </w:r>
      <w:r w:rsidR="00E11CCC" w:rsidRPr="004F0E36">
        <w:t>;</w:t>
      </w:r>
      <w:proofErr w:type="gramEnd"/>
      <w:r w:rsidR="00E11CCC" w:rsidRPr="004F0E36">
        <w:t xml:space="preserve"> </w:t>
      </w:r>
    </w:p>
    <w:p w14:paraId="7834F862" w14:textId="3581D031" w:rsidR="002B308E" w:rsidRPr="004F0E36" w:rsidRDefault="009408DE" w:rsidP="00AA3F93">
      <w:pPr>
        <w:pStyle w:val="bullet"/>
        <w:numPr>
          <w:ilvl w:val="0"/>
          <w:numId w:val="17"/>
        </w:numPr>
      </w:pPr>
      <w:r w:rsidRPr="004F0E36">
        <w:t xml:space="preserve">accompanied by any information or documents required by the form (paragraphs 324(7)(b), 329A(7)(b), 330(2)(b), 335A(2)(b) and 343(2)(b) of the OPGGS Act); </w:t>
      </w:r>
      <w:r w:rsidR="00E11CCC" w:rsidRPr="004F0E36">
        <w:t>and</w:t>
      </w:r>
    </w:p>
    <w:p w14:paraId="2329BA65" w14:textId="5233782A" w:rsidR="002B308E" w:rsidRPr="004F0E36" w:rsidRDefault="002B308E" w:rsidP="00AA3F93">
      <w:pPr>
        <w:pStyle w:val="bullet"/>
        <w:numPr>
          <w:ilvl w:val="0"/>
          <w:numId w:val="17"/>
        </w:numPr>
      </w:pPr>
      <w:r w:rsidRPr="004F0E36">
        <w:t>accompanied by the applicable application fee (section 427 of the OPGGS Act).</w:t>
      </w:r>
    </w:p>
    <w:p w14:paraId="32E8FB6C" w14:textId="6810BD87" w:rsidR="00A65754" w:rsidRDefault="00D659C6" w:rsidP="00AA3F93">
      <w:r w:rsidRPr="004F0E36">
        <w:t xml:space="preserve">For further </w:t>
      </w:r>
      <w:r w:rsidR="00297F83" w:rsidRPr="004F0E36">
        <w:t>information,</w:t>
      </w:r>
      <w:r w:rsidRPr="004F0E36">
        <w:t xml:space="preserve"> a</w:t>
      </w:r>
      <w:r w:rsidR="00A65754" w:rsidRPr="004F0E36">
        <w:t xml:space="preserve">n application form and the </w:t>
      </w:r>
      <w:r w:rsidR="00E11C35" w:rsidRPr="004F0E36">
        <w:t xml:space="preserve">forms guidance </w:t>
      </w:r>
      <w:r w:rsidR="00A65754" w:rsidRPr="004F0E36">
        <w:t>are available on</w:t>
      </w:r>
      <w:r w:rsidR="00A65754">
        <w:t xml:space="preserve"> </w:t>
      </w:r>
      <w:hyperlink r:id="rId24">
        <w:r w:rsidR="00A65754" w:rsidRPr="2297B2AE">
          <w:rPr>
            <w:rStyle w:val="Hyperlink"/>
          </w:rPr>
          <w:t>NOPTA’s website</w:t>
        </w:r>
      </w:hyperlink>
      <w:r w:rsidR="00A65754">
        <w:t>.</w:t>
      </w:r>
    </w:p>
    <w:p w14:paraId="1D36666D" w14:textId="0B70EDE6" w:rsidR="00371A6F" w:rsidRPr="00F7612B" w:rsidRDefault="00580E8A" w:rsidP="00AA3F93">
      <w:pPr>
        <w:spacing w:after="120"/>
        <w:rPr>
          <w:rFonts w:eastAsiaTheme="majorEastAsia" w:cstheme="majorBidi"/>
          <w:b/>
          <w:bCs/>
          <w:color w:val="385623" w:themeColor="accent6" w:themeShade="80"/>
          <w:u w:val="single"/>
        </w:rPr>
      </w:pPr>
      <w:r w:rsidRPr="00AA3F93">
        <w:rPr>
          <w:rStyle w:val="Strong"/>
        </w:rPr>
        <w:t xml:space="preserve">Multiple </w:t>
      </w:r>
      <w:proofErr w:type="spellStart"/>
      <w:r w:rsidRPr="00AA3F93">
        <w:rPr>
          <w:rStyle w:val="Strong"/>
        </w:rPr>
        <w:t>DoSFs</w:t>
      </w:r>
      <w:proofErr w:type="spellEnd"/>
      <w:r w:rsidRPr="00AA3F93">
        <w:rPr>
          <w:rStyle w:val="Strong"/>
        </w:rPr>
        <w:t xml:space="preserve"> within a single relevant GHG title or petroleum retention lease:</w:t>
      </w:r>
      <w:r w:rsidRPr="00AC6427">
        <w:rPr>
          <w:b/>
          <w:bCs/>
        </w:rPr>
        <w:t xml:space="preserve"> </w:t>
      </w:r>
      <w:r w:rsidR="00371A6F">
        <w:t>Where there are multiple DoSFs, a</w:t>
      </w:r>
      <w:r w:rsidR="00595458">
        <w:t>n application for a</w:t>
      </w:r>
      <w:r w:rsidR="00371A6F">
        <w:t xml:space="preserve"> single GHG holding lease can </w:t>
      </w:r>
      <w:r w:rsidR="00595458">
        <w:t>made</w:t>
      </w:r>
      <w:r w:rsidR="00371A6F">
        <w:t xml:space="preserve"> if the DoSFs:</w:t>
      </w:r>
    </w:p>
    <w:p w14:paraId="4B042CE1" w14:textId="510D5515" w:rsidR="00371A6F" w:rsidRDefault="00371A6F" w:rsidP="00AA3F93">
      <w:pPr>
        <w:pStyle w:val="bullet"/>
        <w:numPr>
          <w:ilvl w:val="0"/>
          <w:numId w:val="20"/>
        </w:numPr>
      </w:pPr>
      <w:r>
        <w:t>extend only to one block and a vertical line would not pass through a common point</w:t>
      </w:r>
      <w:r w:rsidR="00C56563">
        <w:t>.</w:t>
      </w:r>
      <w:r w:rsidR="00C56563">
        <w:rPr>
          <w:rStyle w:val="FootnoteReference"/>
        </w:rPr>
        <w:footnoteReference w:id="4"/>
      </w:r>
      <w:r>
        <w:t xml:space="preserve"> </w:t>
      </w:r>
    </w:p>
    <w:p w14:paraId="7A3A7FF0" w14:textId="23BE6B4C" w:rsidR="00371A6F" w:rsidRDefault="00371A6F" w:rsidP="00AA3F93">
      <w:pPr>
        <w:pStyle w:val="bullet"/>
        <w:numPr>
          <w:ilvl w:val="0"/>
          <w:numId w:val="20"/>
        </w:numPr>
      </w:pPr>
      <w:r>
        <w:t>extend to one or more blocks and a vertical line would pass through a common point</w:t>
      </w:r>
      <w:r w:rsidR="00C56563">
        <w:t>.</w:t>
      </w:r>
      <w:r w:rsidR="00C56563">
        <w:rPr>
          <w:rStyle w:val="FootnoteReference"/>
        </w:rPr>
        <w:footnoteReference w:id="5"/>
      </w:r>
      <w:r>
        <w:t>and</w:t>
      </w:r>
    </w:p>
    <w:p w14:paraId="314B0FFA" w14:textId="4B15D14D" w:rsidR="00371A6F" w:rsidRDefault="00371A6F" w:rsidP="00AA3F93">
      <w:pPr>
        <w:pStyle w:val="bullet"/>
        <w:numPr>
          <w:ilvl w:val="0"/>
          <w:numId w:val="20"/>
        </w:numPr>
      </w:pPr>
      <w:r>
        <w:t>extend to more than one block and a vertical line would not pass through a common point if at least one of the blocks provided are adjoining (touching) or have a point in common</w:t>
      </w:r>
      <w:r w:rsidR="00C56563">
        <w:t>.</w:t>
      </w:r>
      <w:r>
        <w:t xml:space="preserve"> </w:t>
      </w:r>
      <w:r w:rsidR="00C56563">
        <w:rPr>
          <w:rStyle w:val="FootnoteReference"/>
        </w:rPr>
        <w:footnoteReference w:id="6"/>
      </w:r>
    </w:p>
    <w:p w14:paraId="63D5B0E2" w14:textId="64851587" w:rsidR="00371A6F" w:rsidRDefault="00371A6F" w:rsidP="00AA3F93">
      <w:pPr>
        <w:pStyle w:val="bullet"/>
      </w:pPr>
      <w:r>
        <w:t>In all other cases, separate GHG holding lease applications will be required</w:t>
      </w:r>
      <w:r w:rsidR="00A220EF">
        <w:t xml:space="preserve"> for each DoSF</w:t>
      </w:r>
      <w:r>
        <w:t xml:space="preserve">. The above scenarios are illustrated in </w:t>
      </w:r>
      <w:hyperlink w:anchor="Attachment1Multiplestorageformations" w:history="1">
        <w:r w:rsidRPr="0000373B">
          <w:rPr>
            <w:rStyle w:val="Hyperlink"/>
          </w:rPr>
          <w:t>Attachment 1 – Multiple storage formations</w:t>
        </w:r>
      </w:hyperlink>
      <w:r>
        <w:t>.</w:t>
      </w:r>
    </w:p>
    <w:p w14:paraId="2E3924DD" w14:textId="4487A822" w:rsidR="00ED31F7" w:rsidRPr="00AC6427" w:rsidRDefault="008276F2" w:rsidP="00AA3F93">
      <w:pPr>
        <w:pStyle w:val="Heading2"/>
        <w:rPr>
          <w:rFonts w:cstheme="majorBidi"/>
        </w:rPr>
      </w:pPr>
      <w:r w:rsidRPr="00AC6427">
        <w:t>Supporting information</w:t>
      </w:r>
      <w:r w:rsidR="00ED31F7" w:rsidRPr="00AC6427">
        <w:t xml:space="preserve"> – GHG holding lease application</w:t>
      </w:r>
    </w:p>
    <w:p w14:paraId="2B291A54" w14:textId="6FDDA8AC" w:rsidR="00ED31F7" w:rsidRDefault="00ED31F7" w:rsidP="00AA3F93">
      <w:pPr>
        <w:spacing w:after="120"/>
      </w:pPr>
      <w:r w:rsidRPr="00642CDC">
        <w:t xml:space="preserve">The application </w:t>
      </w:r>
      <w:r w:rsidR="00B57490" w:rsidRPr="00642CDC">
        <w:t xml:space="preserve">should </w:t>
      </w:r>
      <w:r w:rsidR="00CD4B61" w:rsidRPr="00642CDC">
        <w:t xml:space="preserve">put forward a </w:t>
      </w:r>
      <w:r w:rsidR="000876CB" w:rsidRPr="00642CDC">
        <w:t xml:space="preserve">program of work to </w:t>
      </w:r>
      <w:r w:rsidR="00A447AC" w:rsidRPr="00642CDC">
        <w:t>address th</w:t>
      </w:r>
      <w:r w:rsidR="00A447AC">
        <w:t xml:space="preserve">e barriers to </w:t>
      </w:r>
      <w:r w:rsidR="00B57490">
        <w:t xml:space="preserve">injection and permanent storage </w:t>
      </w:r>
      <w:r w:rsidR="00892905">
        <w:t>of a GHG substance</w:t>
      </w:r>
      <w:r w:rsidR="00DE57DB">
        <w:t xml:space="preserve">(s), </w:t>
      </w:r>
      <w:r w:rsidR="0009521B">
        <w:t>which may include:</w:t>
      </w:r>
      <w:r w:rsidR="00B00CB0">
        <w:t xml:space="preserve"> </w:t>
      </w:r>
      <w:r w:rsidR="00CB4FD3" w:rsidRPr="18388E48">
        <w:t xml:space="preserve"> </w:t>
      </w:r>
    </w:p>
    <w:p w14:paraId="3A2412C8" w14:textId="4DE1FD69" w:rsidR="00F10B9B" w:rsidRDefault="00EA7551" w:rsidP="00AA3F93">
      <w:pPr>
        <w:pStyle w:val="bullet"/>
      </w:pPr>
      <w:r>
        <w:t xml:space="preserve">details of </w:t>
      </w:r>
      <w:r w:rsidR="0005667C">
        <w:t xml:space="preserve">steps or actions </w:t>
      </w:r>
      <w:r w:rsidR="00481F9B">
        <w:t xml:space="preserve">that </w:t>
      </w:r>
      <w:r>
        <w:t xml:space="preserve">are likely to </w:t>
      </w:r>
      <w:r w:rsidR="00121EA0">
        <w:t xml:space="preserve">allow </w:t>
      </w:r>
      <w:r w:rsidR="00F87BC9">
        <w:t>the applica</w:t>
      </w:r>
      <w:r w:rsidR="009C2FF8">
        <w:t xml:space="preserve">nt </w:t>
      </w:r>
      <w:r w:rsidR="00F87BC9" w:rsidRPr="00F87BC9">
        <w:t xml:space="preserve">to inject and </w:t>
      </w:r>
      <w:r w:rsidR="00D23369">
        <w:t xml:space="preserve">permanently </w:t>
      </w:r>
      <w:r w:rsidR="00F87BC9" w:rsidRPr="00F87BC9">
        <w:t xml:space="preserve">store a </w:t>
      </w:r>
      <w:r w:rsidR="007F38BC">
        <w:t>GHG</w:t>
      </w:r>
      <w:r w:rsidR="00F87BC9" w:rsidRPr="00F87BC9">
        <w:t xml:space="preserve"> substance</w:t>
      </w:r>
      <w:r w:rsidR="008B720E">
        <w:t>(s)</w:t>
      </w:r>
      <w:r w:rsidR="00F87BC9" w:rsidRPr="00F87BC9">
        <w:t xml:space="preserve"> in the identified formation </w:t>
      </w:r>
      <w:r>
        <w:t>within 15 years</w:t>
      </w:r>
      <w:r w:rsidR="006F13EF">
        <w:t xml:space="preserve"> with indicative timeframes</w:t>
      </w:r>
      <w:r w:rsidR="00F10B9B">
        <w:t>. For example:</w:t>
      </w:r>
      <w:r>
        <w:t xml:space="preserve"> </w:t>
      </w:r>
      <w:r w:rsidR="00D23369">
        <w:t xml:space="preserve"> </w:t>
      </w:r>
    </w:p>
    <w:p w14:paraId="5E497F24" w14:textId="44F69F0C" w:rsidR="00F10B9B" w:rsidRDefault="00EA7551" w:rsidP="00AA3F93">
      <w:pPr>
        <w:pStyle w:val="bullet"/>
      </w:pPr>
      <w:r>
        <w:t>technical appraisals</w:t>
      </w:r>
      <w:r w:rsidR="00994503">
        <w:t xml:space="preserve"> (including appraisal of well remediation</w:t>
      </w:r>
      <w:r w:rsidR="002A7F50">
        <w:t xml:space="preserve"> </w:t>
      </w:r>
      <w:r w:rsidR="00093B55">
        <w:t>or re-use of infrastructure</w:t>
      </w:r>
      <w:r w:rsidR="00994503">
        <w:t>)</w:t>
      </w:r>
      <w:r w:rsidR="001915C8">
        <w:t>;</w:t>
      </w:r>
    </w:p>
    <w:p w14:paraId="325024CB" w14:textId="7C7BB7D0" w:rsidR="0013218E" w:rsidRDefault="00D244FE" w:rsidP="00AA3F93">
      <w:pPr>
        <w:pStyle w:val="bullet"/>
      </w:pPr>
      <w:r>
        <w:t>technological developments</w:t>
      </w:r>
      <w:r w:rsidR="0096620F">
        <w:t>;</w:t>
      </w:r>
      <w:r>
        <w:t xml:space="preserve"> </w:t>
      </w:r>
    </w:p>
    <w:p w14:paraId="52B96CB0" w14:textId="7F27BB7A" w:rsidR="00F10B9B" w:rsidRDefault="00EA7551" w:rsidP="00AA3F93">
      <w:pPr>
        <w:pStyle w:val="bullet"/>
      </w:pPr>
      <w:r>
        <w:t>market conditions</w:t>
      </w:r>
      <w:r w:rsidR="001915C8">
        <w:t>;</w:t>
      </w:r>
    </w:p>
    <w:p w14:paraId="2ECBDAEE" w14:textId="0318DD07" w:rsidR="00F10B9B" w:rsidRPr="00F10B9B" w:rsidRDefault="005F553F" w:rsidP="00AA3F93">
      <w:pPr>
        <w:pStyle w:val="bullet"/>
        <w:rPr>
          <w:rStyle w:val="CommentReference"/>
          <w:sz w:val="20"/>
          <w:szCs w:val="22"/>
        </w:rPr>
      </w:pPr>
      <w:r>
        <w:t xml:space="preserve">any agreements reached </w:t>
      </w:r>
      <w:r w:rsidR="00A6070C">
        <w:t>with</w:t>
      </w:r>
      <w:r>
        <w:t xml:space="preserve"> potentially</w:t>
      </w:r>
      <w:r w:rsidR="00A6070C">
        <w:t xml:space="preserve"> </w:t>
      </w:r>
      <w:r w:rsidR="00317394">
        <w:t>affected</w:t>
      </w:r>
      <w:r w:rsidR="00A6070C">
        <w:t xml:space="preserve"> </w:t>
      </w:r>
      <w:r w:rsidR="00F245EB">
        <w:t>petroleum titleholder</w:t>
      </w:r>
      <w:r w:rsidR="0039499C">
        <w:t>s</w:t>
      </w:r>
      <w:r w:rsidR="00F245EB">
        <w:t xml:space="preserve"> (see SROSAI </w:t>
      </w:r>
      <w:r w:rsidR="0039499C">
        <w:t>Fact</w:t>
      </w:r>
      <w:r w:rsidR="0068615D">
        <w:t xml:space="preserve"> S</w:t>
      </w:r>
      <w:r w:rsidR="0039499C">
        <w:t>heet</w:t>
      </w:r>
      <w:proofErr w:type="gramStart"/>
      <w:r w:rsidR="0039499C">
        <w:t>)</w:t>
      </w:r>
      <w:r w:rsidR="006F13EF">
        <w:t>;</w:t>
      </w:r>
      <w:proofErr w:type="gramEnd"/>
    </w:p>
    <w:p w14:paraId="12E8FE4E" w14:textId="7B2BE3DF" w:rsidR="00F10B9B" w:rsidRDefault="005930C6" w:rsidP="00AA3F93">
      <w:pPr>
        <w:pStyle w:val="bullet"/>
      </w:pPr>
      <w:r>
        <w:t xml:space="preserve"> a</w:t>
      </w:r>
      <w:r w:rsidR="00EA7551">
        <w:t xml:space="preserve">ccess to third party </w:t>
      </w:r>
      <w:r w:rsidR="007023EB">
        <w:t>infrastructure</w:t>
      </w:r>
      <w:r w:rsidR="0071036B">
        <w:t>;</w:t>
      </w:r>
      <w:r w:rsidR="003B3BB6">
        <w:t xml:space="preserve"> and</w:t>
      </w:r>
    </w:p>
    <w:p w14:paraId="06CD656B" w14:textId="74926DAB" w:rsidR="007023EB" w:rsidRDefault="0071036B" w:rsidP="00AA3F93">
      <w:pPr>
        <w:pStyle w:val="bullet"/>
        <w:keepLines/>
      </w:pPr>
      <w:r>
        <w:lastRenderedPageBreak/>
        <w:t>s</w:t>
      </w:r>
      <w:r w:rsidR="0051199A">
        <w:t xml:space="preserve">upporting </w:t>
      </w:r>
      <w:r w:rsidR="00B27281">
        <w:t xml:space="preserve">evidence </w:t>
      </w:r>
      <w:r w:rsidR="003A4BCF" w:rsidRPr="18388E48">
        <w:t xml:space="preserve">that </w:t>
      </w:r>
      <w:r w:rsidR="0051199A">
        <w:t xml:space="preserve">the </w:t>
      </w:r>
      <w:r w:rsidR="0005667C">
        <w:t>proposed steps or actions</w:t>
      </w:r>
      <w:r w:rsidR="003A4BCF" w:rsidRPr="18388E48">
        <w:t xml:space="preserve"> </w:t>
      </w:r>
      <w:r w:rsidR="002B5499">
        <w:t>are</w:t>
      </w:r>
      <w:r w:rsidR="003A4BCF" w:rsidRPr="18388E48">
        <w:t xml:space="preserve"> sufficient to </w:t>
      </w:r>
      <w:r w:rsidR="006C7306">
        <w:t>enable</w:t>
      </w:r>
      <w:r w:rsidR="006C7306" w:rsidRPr="18388E48">
        <w:t xml:space="preserve"> </w:t>
      </w:r>
      <w:r w:rsidR="003A4BCF" w:rsidRPr="18388E48">
        <w:t xml:space="preserve">the project </w:t>
      </w:r>
      <w:r w:rsidR="006C7306">
        <w:t>to proceed</w:t>
      </w:r>
      <w:r w:rsidR="00463C61">
        <w:t>. F</w:t>
      </w:r>
      <w:r w:rsidR="00DF49AD">
        <w:t>or example</w:t>
      </w:r>
      <w:r w:rsidR="00AC3238">
        <w:t>,</w:t>
      </w:r>
      <w:r w:rsidR="00DF49AD">
        <w:t xml:space="preserve"> </w:t>
      </w:r>
      <w:r w:rsidR="007023EB">
        <w:t>the internally</w:t>
      </w:r>
      <w:r w:rsidR="003A4BCF">
        <w:t xml:space="preserve"> accepted economic criteria used by the applicant to assess viability; and</w:t>
      </w:r>
    </w:p>
    <w:p w14:paraId="10759097" w14:textId="08F219E3" w:rsidR="003A4BCF" w:rsidRDefault="003A4BCF" w:rsidP="00AA3F93">
      <w:pPr>
        <w:pStyle w:val="bullet"/>
      </w:pPr>
      <w:r>
        <w:t>any other information the applicant wishes to be considered in the application.</w:t>
      </w:r>
    </w:p>
    <w:p w14:paraId="75DA0F66" w14:textId="762FC172" w:rsidR="00E56DD9" w:rsidRDefault="00CB0DB8" w:rsidP="00AA3F93">
      <w:pPr>
        <w:spacing w:before="240" w:after="120"/>
      </w:pPr>
      <w:r>
        <w:t>Assumption</w:t>
      </w:r>
      <w:r w:rsidR="00385821">
        <w:t xml:space="preserve">s </w:t>
      </w:r>
      <w:r w:rsidR="007F1ADC">
        <w:t>that impact</w:t>
      </w:r>
      <w:r w:rsidR="4E760C81">
        <w:t xml:space="preserve"> on </w:t>
      </w:r>
      <w:r w:rsidR="007D4E9E">
        <w:t xml:space="preserve">the ability of the project to proceed </w:t>
      </w:r>
      <w:r w:rsidR="688F7157">
        <w:t xml:space="preserve">should be clearly </w:t>
      </w:r>
      <w:r w:rsidR="007F1ADC">
        <w:t>identified. For</w:t>
      </w:r>
      <w:r w:rsidR="688F7157">
        <w:t xml:space="preserve"> example</w:t>
      </w:r>
      <w:r w:rsidR="00A638AE">
        <w:t>:</w:t>
      </w:r>
      <w:r w:rsidR="688F7157">
        <w:t xml:space="preserve"> </w:t>
      </w:r>
    </w:p>
    <w:p w14:paraId="1E262DF7" w14:textId="1CF943EB" w:rsidR="00562633" w:rsidRDefault="00334230" w:rsidP="00E56DD9">
      <w:pPr>
        <w:pStyle w:val="ListParagraph"/>
        <w:numPr>
          <w:ilvl w:val="0"/>
          <w:numId w:val="13"/>
        </w:numPr>
      </w:pPr>
      <w:r>
        <w:t>uncertainty</w:t>
      </w:r>
      <w:r w:rsidR="688F7157">
        <w:t xml:space="preserve"> range</w:t>
      </w:r>
      <w:r>
        <w:t xml:space="preserve">s associated with </w:t>
      </w:r>
      <w:r w:rsidR="688F7157">
        <w:t>development costs due to</w:t>
      </w:r>
      <w:r w:rsidR="5A6FB5DB">
        <w:t xml:space="preserve"> immature</w:t>
      </w:r>
      <w:r w:rsidR="688F7157">
        <w:t xml:space="preserve"> technical</w:t>
      </w:r>
      <w:r w:rsidR="747B1408">
        <w:t xml:space="preserve"> understanding</w:t>
      </w:r>
      <w:r w:rsidR="006F40B6">
        <w:t>;</w:t>
      </w:r>
      <w:r w:rsidR="688F7157">
        <w:t xml:space="preserve"> or </w:t>
      </w:r>
    </w:p>
    <w:p w14:paraId="5598B74E" w14:textId="41E21C00" w:rsidR="003A4BCF" w:rsidRDefault="688F7157" w:rsidP="00AA3F93">
      <w:pPr>
        <w:pStyle w:val="bullet"/>
        <w:numPr>
          <w:ilvl w:val="0"/>
          <w:numId w:val="17"/>
        </w:numPr>
      </w:pPr>
      <w:r>
        <w:t>dependence on access to third</w:t>
      </w:r>
      <w:r w:rsidR="00187564">
        <w:t>-</w:t>
      </w:r>
      <w:r>
        <w:t>party infrastructure</w:t>
      </w:r>
      <w:r w:rsidR="4164938F">
        <w:t xml:space="preserve"> or sources of GHG substance</w:t>
      </w:r>
      <w:r w:rsidR="005434E2">
        <w:t>(s)</w:t>
      </w:r>
      <w:r w:rsidR="006F40B6">
        <w:t>;</w:t>
      </w:r>
      <w:r w:rsidR="00562633">
        <w:t xml:space="preserve"> or</w:t>
      </w:r>
    </w:p>
    <w:p w14:paraId="22601076" w14:textId="60A5FE77" w:rsidR="00414DC2" w:rsidRDefault="000F4B41" w:rsidP="001B4749">
      <w:pPr>
        <w:pStyle w:val="ListParagraph"/>
        <w:numPr>
          <w:ilvl w:val="0"/>
          <w:numId w:val="13"/>
        </w:numPr>
      </w:pPr>
      <w:r>
        <w:t xml:space="preserve">where </w:t>
      </w:r>
      <w:r w:rsidR="00414DC2" w:rsidRPr="18388E48">
        <w:t>the estimated internal rate of return (</w:t>
      </w:r>
      <w:r w:rsidR="00414DC2" w:rsidRPr="00AA3F93">
        <w:rPr>
          <w:rStyle w:val="Strong"/>
        </w:rPr>
        <w:t>IRR</w:t>
      </w:r>
      <w:r w:rsidR="00414DC2" w:rsidRPr="18388E48">
        <w:t>) is sufficient for the project to proceed under current market conditions</w:t>
      </w:r>
      <w:r w:rsidR="00446C24">
        <w:t>,</w:t>
      </w:r>
      <w:r w:rsidR="00414DC2" w:rsidRPr="18388E48">
        <w:t xml:space="preserve"> the applicant should provide evidence that there are other factors preventing </w:t>
      </w:r>
      <w:r w:rsidR="0025519A">
        <w:t>the project proceeding</w:t>
      </w:r>
      <w:r w:rsidR="007C27B9">
        <w:t xml:space="preserve"> </w:t>
      </w:r>
      <w:r w:rsidR="00414DC2" w:rsidRPr="18388E48">
        <w:t>(e.g. market issues or technical risks).</w:t>
      </w:r>
    </w:p>
    <w:p w14:paraId="2E064229" w14:textId="7C3988FE" w:rsidR="00414DC2" w:rsidRPr="002F628A" w:rsidRDefault="001F38C6" w:rsidP="18388E48">
      <w:r w:rsidRPr="002F628A">
        <w:t>Information such as contract availability, access to markets, existing infrastructure</w:t>
      </w:r>
      <w:r w:rsidR="00BB30F1" w:rsidRPr="002F628A">
        <w:t>,</w:t>
      </w:r>
      <w:r w:rsidRPr="002F628A">
        <w:t xml:space="preserve"> and </w:t>
      </w:r>
      <w:r w:rsidR="00DE1134" w:rsidRPr="002F628A">
        <w:t xml:space="preserve">subsurface </w:t>
      </w:r>
      <w:r w:rsidRPr="002F628A">
        <w:t xml:space="preserve">considerations may be </w:t>
      </w:r>
      <w:r w:rsidR="0068222D" w:rsidRPr="002F628A">
        <w:t xml:space="preserve">assessed </w:t>
      </w:r>
      <w:r w:rsidRPr="002F628A">
        <w:t xml:space="preserve">by NOPTA using information </w:t>
      </w:r>
      <w:r w:rsidR="00426FC3" w:rsidRPr="002F628A">
        <w:t xml:space="preserve">provided </w:t>
      </w:r>
      <w:r w:rsidRPr="002F628A">
        <w:t xml:space="preserve">in the application, </w:t>
      </w:r>
      <w:r w:rsidR="00426FC3" w:rsidRPr="002F628A">
        <w:t xml:space="preserve">obtained through a </w:t>
      </w:r>
      <w:r w:rsidRPr="002F628A">
        <w:t>request for further information, or sourced independently</w:t>
      </w:r>
      <w:r w:rsidR="00666E01" w:rsidRPr="002F628A">
        <w:t>.</w:t>
      </w:r>
    </w:p>
    <w:p w14:paraId="38C734E3" w14:textId="3DA5EC2C" w:rsidR="00EA7551" w:rsidRPr="00477772" w:rsidRDefault="00C42BF8" w:rsidP="00477772">
      <w:r w:rsidRPr="002F628A">
        <w:t>Critical path activities</w:t>
      </w:r>
      <w:r w:rsidR="00C73D52" w:rsidRPr="002F628A">
        <w:t xml:space="preserve"> should be</w:t>
      </w:r>
      <w:r w:rsidRPr="002F628A">
        <w:t xml:space="preserve"> </w:t>
      </w:r>
      <w:r w:rsidR="00EC4F31" w:rsidRPr="002F628A">
        <w:t>discussed and supported by</w:t>
      </w:r>
      <w:r w:rsidR="006B1049" w:rsidRPr="002F628A">
        <w:t xml:space="preserve"> a project schedule that aligns with the </w:t>
      </w:r>
      <w:r w:rsidR="00375170" w:rsidRPr="002F628A">
        <w:t>project</w:t>
      </w:r>
      <w:r w:rsidR="0023534F" w:rsidRPr="002F628A">
        <w:t xml:space="preserve"> </w:t>
      </w:r>
      <w:r w:rsidR="004D009F" w:rsidRPr="002F628A">
        <w:t xml:space="preserve">being able to inject and </w:t>
      </w:r>
      <w:r w:rsidR="00394938" w:rsidRPr="002F628A">
        <w:t xml:space="preserve">permanently </w:t>
      </w:r>
      <w:r w:rsidR="00977EFF" w:rsidRPr="002F628A">
        <w:t xml:space="preserve">store a GHG substance </w:t>
      </w:r>
      <w:r w:rsidR="004D009F" w:rsidRPr="002F628A">
        <w:t>within 15 years</w:t>
      </w:r>
      <w:r w:rsidR="00FC50C3" w:rsidRPr="002F628A">
        <w:t xml:space="preserve"> </w:t>
      </w:r>
      <w:r w:rsidR="004D009F" w:rsidRPr="002F628A">
        <w:t>and</w:t>
      </w:r>
      <w:r w:rsidR="004772E4" w:rsidRPr="002F628A">
        <w:t xml:space="preserve"> </w:t>
      </w:r>
      <w:r w:rsidR="004D009F" w:rsidRPr="002F628A">
        <w:t>the proposed work program</w:t>
      </w:r>
      <w:r w:rsidR="00B20433" w:rsidRPr="002F628A">
        <w:t xml:space="preserve"> </w:t>
      </w:r>
      <w:r w:rsidR="0056648D" w:rsidRPr="002F628A">
        <w:t xml:space="preserve">for the </w:t>
      </w:r>
      <w:r w:rsidR="00E621AB" w:rsidRPr="002F628A">
        <w:t>5 year holding lease term</w:t>
      </w:r>
      <w:r w:rsidR="00B20433" w:rsidRPr="002F628A">
        <w:t xml:space="preserve"> (see</w:t>
      </w:r>
      <w:r w:rsidR="00B20433">
        <w:t xml:space="preserve"> </w:t>
      </w:r>
      <w:hyperlink w:anchor="ProposedWorkProgram" w:history="1">
        <w:r w:rsidR="00B20433" w:rsidRPr="00B20433">
          <w:rPr>
            <w:rStyle w:val="Hyperlink"/>
          </w:rPr>
          <w:t>‘Proposed Work Program’</w:t>
        </w:r>
      </w:hyperlink>
      <w:r w:rsidR="00B20433">
        <w:t xml:space="preserve"> </w:t>
      </w:r>
      <w:r w:rsidR="00B20433" w:rsidRPr="002F628A">
        <w:t>below)</w:t>
      </w:r>
      <w:r w:rsidR="00152825" w:rsidRPr="002F628A">
        <w:t>.</w:t>
      </w:r>
    </w:p>
    <w:p w14:paraId="390EFA4D" w14:textId="506F9F79" w:rsidR="004C0B9D" w:rsidRPr="002F628A" w:rsidRDefault="004739F9" w:rsidP="00F7612B">
      <w:pPr>
        <w:rPr>
          <w:rFonts w:eastAsiaTheme="majorEastAsia" w:cstheme="majorBidi"/>
          <w:u w:val="single"/>
        </w:rPr>
      </w:pPr>
      <w:r w:rsidRPr="00AC6427">
        <w:rPr>
          <w:rFonts w:eastAsiaTheme="majorEastAsia" w:cstheme="majorBidi"/>
          <w:b/>
          <w:bCs/>
          <w:color w:val="385623" w:themeColor="accent6" w:themeShade="80"/>
        </w:rPr>
        <w:t>Existing knowledge of the storage formation</w:t>
      </w:r>
      <w:r w:rsidR="00965D30" w:rsidRPr="00AC6427">
        <w:rPr>
          <w:rFonts w:eastAsiaTheme="majorEastAsia" w:cstheme="majorBidi"/>
          <w:color w:val="385623" w:themeColor="accent6" w:themeShade="80"/>
        </w:rPr>
        <w:t xml:space="preserve">: </w:t>
      </w:r>
      <w:r w:rsidR="00645A28">
        <w:t xml:space="preserve"> </w:t>
      </w:r>
      <w:r w:rsidR="00D50916" w:rsidRPr="002F628A">
        <w:t xml:space="preserve">Applications </w:t>
      </w:r>
      <w:r w:rsidR="004C0B9D" w:rsidRPr="002F628A">
        <w:t xml:space="preserve">should demonstrate existing knowledge of the </w:t>
      </w:r>
      <w:r w:rsidR="007B5BA3" w:rsidRPr="002F628A">
        <w:t>DoSF</w:t>
      </w:r>
      <w:r w:rsidR="00445172" w:rsidRPr="002F628A">
        <w:t>(</w:t>
      </w:r>
      <w:r w:rsidR="004C0B9D" w:rsidRPr="002F628A">
        <w:t>s</w:t>
      </w:r>
      <w:r w:rsidR="00445172" w:rsidRPr="002F628A">
        <w:t>)</w:t>
      </w:r>
      <w:r w:rsidR="00221FEF" w:rsidRPr="002F628A">
        <w:t xml:space="preserve">, including </w:t>
      </w:r>
      <w:r w:rsidR="001F7985" w:rsidRPr="002F628A">
        <w:t>the fundamental suitability determinants</w:t>
      </w:r>
      <w:r w:rsidR="00E041F2" w:rsidRPr="002F628A">
        <w:t xml:space="preserve"> (</w:t>
      </w:r>
      <w:r w:rsidR="00F408D8" w:rsidRPr="002F628A">
        <w:t xml:space="preserve">see </w:t>
      </w:r>
      <w:r w:rsidR="00E041F2" w:rsidRPr="002F628A">
        <w:t xml:space="preserve">subsection </w:t>
      </w:r>
      <w:r w:rsidR="00EA67BB" w:rsidRPr="002F628A">
        <w:t>21</w:t>
      </w:r>
      <w:r w:rsidR="00E66CB6" w:rsidRPr="002F628A">
        <w:t xml:space="preserve">(8) of the OPGGS </w:t>
      </w:r>
      <w:r w:rsidR="00A72E3E" w:rsidRPr="002F628A">
        <w:t>Act</w:t>
      </w:r>
      <w:r w:rsidR="003E7306" w:rsidRPr="002F628A">
        <w:t>)</w:t>
      </w:r>
      <w:r w:rsidR="00531741" w:rsidRPr="002F628A">
        <w:t>.</w:t>
      </w:r>
      <w:r w:rsidR="00A573A2" w:rsidRPr="002F628A">
        <w:t xml:space="preserve"> </w:t>
      </w:r>
    </w:p>
    <w:p w14:paraId="5CA5424E" w14:textId="63476058" w:rsidR="00FA739F" w:rsidRPr="002F628A" w:rsidRDefault="00FA739F" w:rsidP="18388E48">
      <w:r w:rsidRPr="002F628A">
        <w:t xml:space="preserve">If </w:t>
      </w:r>
      <w:r w:rsidR="007A3419" w:rsidRPr="002F628A">
        <w:t>the knowledge</w:t>
      </w:r>
      <w:r w:rsidRPr="002F628A">
        <w:t xml:space="preserve"> of the storage formation(s) ha</w:t>
      </w:r>
      <w:r w:rsidR="00ED6CF5" w:rsidRPr="002F628A">
        <w:t>s</w:t>
      </w:r>
      <w:r w:rsidRPr="002F628A">
        <w:t xml:space="preserve"> signifi</w:t>
      </w:r>
      <w:r w:rsidR="004072F0" w:rsidRPr="002F628A">
        <w:t xml:space="preserve">cantly changed </w:t>
      </w:r>
      <w:r w:rsidR="00C37E06" w:rsidRPr="002F628A">
        <w:t>since the DoSF</w:t>
      </w:r>
      <w:r w:rsidR="00C142F4" w:rsidRPr="002F628A">
        <w:t xml:space="preserve">, </w:t>
      </w:r>
      <w:r w:rsidR="000B5278" w:rsidRPr="002F628A">
        <w:t xml:space="preserve">particularly relating to the fundamental suitability determinants and/or the spatial extent, </w:t>
      </w:r>
      <w:r w:rsidR="00A10E58" w:rsidRPr="002F628A">
        <w:t xml:space="preserve">updated information should be provided, </w:t>
      </w:r>
      <w:r w:rsidR="003E7AFF" w:rsidRPr="002F628A">
        <w:t xml:space="preserve">and will </w:t>
      </w:r>
      <w:r w:rsidR="00E06E56" w:rsidRPr="002F628A">
        <w:t>potentially r</w:t>
      </w:r>
      <w:r w:rsidR="006E0C5D" w:rsidRPr="002F628A">
        <w:t>equire</w:t>
      </w:r>
      <w:r w:rsidR="00A21760" w:rsidRPr="002F628A">
        <w:t xml:space="preserve"> a variation to the DoSF (see DoSF Guideline</w:t>
      </w:r>
      <w:r w:rsidR="00E06E56" w:rsidRPr="002F628A">
        <w:t>s</w:t>
      </w:r>
      <w:r w:rsidR="00A21760" w:rsidRPr="002F628A">
        <w:t>)</w:t>
      </w:r>
      <w:r w:rsidR="0099372B" w:rsidRPr="002F628A">
        <w:t>.</w:t>
      </w:r>
      <w:r w:rsidR="00C142F4" w:rsidRPr="002F628A">
        <w:t xml:space="preserve"> </w:t>
      </w:r>
    </w:p>
    <w:p w14:paraId="397CE112" w14:textId="056FA7EE" w:rsidR="0047776B" w:rsidRPr="00F7612B" w:rsidRDefault="001062D6" w:rsidP="00AA3F93">
      <w:pPr>
        <w:keepLines/>
        <w:rPr>
          <w:rFonts w:eastAsiaTheme="majorEastAsia" w:cstheme="majorBidi"/>
          <w:color w:val="385623" w:themeColor="accent6" w:themeShade="80"/>
          <w:u w:val="single"/>
        </w:rPr>
      </w:pPr>
      <w:r w:rsidRPr="00AC6427">
        <w:rPr>
          <w:rFonts w:eastAsiaTheme="majorEastAsia" w:cstheme="majorBidi"/>
          <w:b/>
          <w:bCs/>
          <w:color w:val="385623" w:themeColor="accent6" w:themeShade="80"/>
        </w:rPr>
        <w:t>Development Concepts</w:t>
      </w:r>
      <w:r w:rsidR="00AC4401" w:rsidRPr="00AC6427">
        <w:rPr>
          <w:rFonts w:eastAsiaTheme="majorEastAsia" w:cstheme="majorBidi"/>
          <w:b/>
          <w:bCs/>
          <w:color w:val="385623" w:themeColor="accent6" w:themeShade="80"/>
        </w:rPr>
        <w:t>:</w:t>
      </w:r>
      <w:r w:rsidR="00AC4401">
        <w:rPr>
          <w:rFonts w:eastAsiaTheme="majorEastAsia" w:cstheme="majorBidi"/>
          <w:color w:val="385623" w:themeColor="accent6" w:themeShade="80"/>
          <w:u w:val="single"/>
        </w:rPr>
        <w:t xml:space="preserve"> </w:t>
      </w:r>
      <w:r w:rsidR="0047776B" w:rsidRPr="0047776B">
        <w:t>The application should adequately consider all reasonable development concepts. Each concept should be supported by a detailed assessment and discussion, including schematics, indicative timeframes, advantages and disadvantages and a comparison between the identified concepts.</w:t>
      </w:r>
    </w:p>
    <w:p w14:paraId="2A98C460" w14:textId="0CEC5EF1" w:rsidR="00F64F75" w:rsidRDefault="00F64F75" w:rsidP="18388E48">
      <w:r w:rsidRPr="18388E48">
        <w:t xml:space="preserve">If a preferred development </w:t>
      </w:r>
      <w:r w:rsidR="003E58D7">
        <w:t>concept</w:t>
      </w:r>
      <w:r w:rsidR="003E58D7" w:rsidRPr="18388E48">
        <w:t xml:space="preserve"> </w:t>
      </w:r>
      <w:r w:rsidR="00B3532C" w:rsidRPr="18388E48">
        <w:t>has been identified</w:t>
      </w:r>
      <w:r w:rsidR="00127AD8">
        <w:t>,</w:t>
      </w:r>
      <w:r w:rsidR="00B3532C" w:rsidRPr="18388E48">
        <w:t xml:space="preserve"> include information </w:t>
      </w:r>
      <w:r w:rsidR="00281DDE">
        <w:t>as to</w:t>
      </w:r>
      <w:r w:rsidR="00B3532C" w:rsidRPr="18388E48">
        <w:t xml:space="preserve"> the basis for selecting that option, along with </w:t>
      </w:r>
      <w:r w:rsidR="00004820">
        <w:t>discussion</w:t>
      </w:r>
      <w:r w:rsidR="00F91759">
        <w:t xml:space="preserve"> on</w:t>
      </w:r>
      <w:r w:rsidR="00004820" w:rsidRPr="18388E48">
        <w:t xml:space="preserve"> </w:t>
      </w:r>
      <w:r w:rsidR="008E051D">
        <w:t>the</w:t>
      </w:r>
      <w:r w:rsidR="00E97E2C">
        <w:t xml:space="preserve"> limitations of other</w:t>
      </w:r>
      <w:r w:rsidR="00B3532C" w:rsidRPr="18388E48">
        <w:t xml:space="preserve"> </w:t>
      </w:r>
      <w:r w:rsidR="00E97E2C">
        <w:t>concepts</w:t>
      </w:r>
      <w:r w:rsidR="00B3532C" w:rsidRPr="18388E48">
        <w:t xml:space="preserve"> considered</w:t>
      </w:r>
      <w:r w:rsidR="00F91759">
        <w:t xml:space="preserve">. Please </w:t>
      </w:r>
      <w:r w:rsidR="00B3532C" w:rsidRPr="18388E48">
        <w:t>referenc</w:t>
      </w:r>
      <w:r w:rsidR="00F91759">
        <w:t>e</w:t>
      </w:r>
      <w:r w:rsidR="00B3532C" w:rsidRPr="18388E48">
        <w:t xml:space="preserve"> previous </w:t>
      </w:r>
      <w:r w:rsidRPr="18388E48">
        <w:t>application</w:t>
      </w:r>
      <w:r w:rsidR="003B1ABA">
        <w:t>s</w:t>
      </w:r>
      <w:r w:rsidR="00B3532C" w:rsidRPr="18388E48">
        <w:t xml:space="preserve"> where appropriate.</w:t>
      </w:r>
    </w:p>
    <w:p w14:paraId="5FE737BA" w14:textId="0575EACC" w:rsidR="00892BF7" w:rsidRDefault="0027756A" w:rsidP="18388E48">
      <w:r>
        <w:t>W</w:t>
      </w:r>
      <w:r w:rsidRPr="18388E48">
        <w:t>here appropriate</w:t>
      </w:r>
      <w:r>
        <w:t xml:space="preserve">, </w:t>
      </w:r>
      <w:r w:rsidR="00206961">
        <w:t>p</w:t>
      </w:r>
      <w:r w:rsidR="00B3532C" w:rsidRPr="18388E48">
        <w:t xml:space="preserve">rovide information on </w:t>
      </w:r>
      <w:r w:rsidR="00206961">
        <w:t xml:space="preserve">the </w:t>
      </w:r>
      <w:r w:rsidR="00B3532C" w:rsidRPr="18388E48">
        <w:t xml:space="preserve">infrastructure </w:t>
      </w:r>
      <w:r w:rsidR="00A6191B" w:rsidRPr="18388E48">
        <w:t xml:space="preserve">components </w:t>
      </w:r>
      <w:r w:rsidR="0092770C" w:rsidRPr="18388E48">
        <w:t>for each concept</w:t>
      </w:r>
      <w:r w:rsidR="0092770C">
        <w:t>.</w:t>
      </w:r>
      <w:r w:rsidR="0092770C" w:rsidRPr="18388E48">
        <w:t xml:space="preserve"> </w:t>
      </w:r>
      <w:r w:rsidR="0092770C">
        <w:t>F</w:t>
      </w:r>
      <w:r w:rsidR="00A6191B" w:rsidRPr="18388E48">
        <w:t>or multiple DoSFs</w:t>
      </w:r>
      <w:r w:rsidR="00C96D7B">
        <w:t>,</w:t>
      </w:r>
      <w:r w:rsidR="00A6191B" w:rsidRPr="18388E48">
        <w:t xml:space="preserve"> please provide separate</w:t>
      </w:r>
      <w:r w:rsidR="00180FF3">
        <w:t xml:space="preserve"> information </w:t>
      </w:r>
      <w:r w:rsidR="00A6191B" w:rsidRPr="18388E48">
        <w:t>for each DoSF</w:t>
      </w:r>
      <w:r w:rsidR="005064D9" w:rsidRPr="18388E48">
        <w:t xml:space="preserve"> and </w:t>
      </w:r>
      <w:r w:rsidR="00EF23C5">
        <w:t>clearly identify</w:t>
      </w:r>
      <w:r w:rsidR="00041CB4">
        <w:t xml:space="preserve"> </w:t>
      </w:r>
      <w:r w:rsidR="005064D9" w:rsidRPr="18388E48">
        <w:t xml:space="preserve">any shared facilities. </w:t>
      </w:r>
      <w:r w:rsidR="00A639C3" w:rsidRPr="18388E48">
        <w:t xml:space="preserve">Include </w:t>
      </w:r>
      <w:r w:rsidR="00B3532C" w:rsidRPr="18388E48">
        <w:t>cost</w:t>
      </w:r>
      <w:r w:rsidR="00A639C3" w:rsidRPr="18388E48">
        <w:t xml:space="preserve"> estimates</w:t>
      </w:r>
      <w:r w:rsidR="00EB5BF4" w:rsidRPr="18388E48">
        <w:t xml:space="preserve"> in real units, specifying </w:t>
      </w:r>
      <w:r w:rsidR="00343F26">
        <w:t xml:space="preserve">the </w:t>
      </w:r>
      <w:r w:rsidR="00EB5BF4" w:rsidRPr="18388E48">
        <w:t>currency and cost</w:t>
      </w:r>
      <w:r w:rsidR="008C5C3D" w:rsidRPr="18388E48">
        <w:t xml:space="preserve"> estimate class. These should provide support for the cost estimates in the project cash flows. </w:t>
      </w:r>
      <w:r w:rsidR="0005763F">
        <w:t>A</w:t>
      </w:r>
      <w:r w:rsidR="008C5C3D" w:rsidRPr="18388E48">
        <w:t xml:space="preserve">nnual operating costs </w:t>
      </w:r>
      <w:r w:rsidR="0049168C">
        <w:t xml:space="preserve">should also be provided, along with the </w:t>
      </w:r>
      <w:r w:rsidR="008C5C3D" w:rsidRPr="18388E48">
        <w:t xml:space="preserve">basis for </w:t>
      </w:r>
      <w:r w:rsidR="00632CE9">
        <w:t xml:space="preserve">the </w:t>
      </w:r>
      <w:r w:rsidR="008C5C3D" w:rsidRPr="18388E48">
        <w:t>assumption</w:t>
      </w:r>
      <w:r w:rsidR="008371A3">
        <w:t>s</w:t>
      </w:r>
      <w:r w:rsidR="008C5C3D" w:rsidRPr="18388E48">
        <w:t>.</w:t>
      </w:r>
    </w:p>
    <w:p w14:paraId="41CC9951" w14:textId="0BBEED26" w:rsidR="00546F26" w:rsidRDefault="00F916A7" w:rsidP="003C1A0A">
      <w:r>
        <w:t xml:space="preserve">Where a development concept considers re-use of </w:t>
      </w:r>
      <w:r w:rsidR="00EB424B">
        <w:t xml:space="preserve">infrastructure, provide information </w:t>
      </w:r>
      <w:r w:rsidR="00A2375F">
        <w:t xml:space="preserve">on its </w:t>
      </w:r>
      <w:r w:rsidR="00AC0B0F">
        <w:t>suitabilit</w:t>
      </w:r>
      <w:r w:rsidR="00D40BA1">
        <w:t>y</w:t>
      </w:r>
      <w:r w:rsidR="00714655">
        <w:t>,</w:t>
      </w:r>
      <w:r w:rsidR="00D40BA1">
        <w:t xml:space="preserve"> </w:t>
      </w:r>
      <w:r w:rsidR="00F91013">
        <w:t xml:space="preserve">and </w:t>
      </w:r>
      <w:r w:rsidR="00EB424B">
        <w:t xml:space="preserve">current </w:t>
      </w:r>
      <w:r w:rsidR="00E824A9">
        <w:t>ope</w:t>
      </w:r>
      <w:r w:rsidR="001B000E">
        <w:t xml:space="preserve">rational </w:t>
      </w:r>
      <w:r w:rsidR="006B7C9F">
        <w:t>status</w:t>
      </w:r>
      <w:r w:rsidR="00EA1F2D">
        <w:t xml:space="preserve">. This should </w:t>
      </w:r>
      <w:r w:rsidR="00D7555A">
        <w:t xml:space="preserve">also </w:t>
      </w:r>
      <w:r w:rsidR="00564D2D">
        <w:t>includ</w:t>
      </w:r>
      <w:r w:rsidR="00EA1F2D">
        <w:t xml:space="preserve">e </w:t>
      </w:r>
      <w:r w:rsidR="00052F3C">
        <w:t xml:space="preserve">potential </w:t>
      </w:r>
      <w:r w:rsidR="00732002">
        <w:t xml:space="preserve">future </w:t>
      </w:r>
      <w:r w:rsidR="00052F3C">
        <w:t xml:space="preserve">work </w:t>
      </w:r>
      <w:r w:rsidR="00EB424B">
        <w:t xml:space="preserve">needed to </w:t>
      </w:r>
      <w:r w:rsidR="004823BF">
        <w:t xml:space="preserve">demonstrate that </w:t>
      </w:r>
      <w:r w:rsidR="008F7F8B">
        <w:t xml:space="preserve">the infrastructure is suitable, including any </w:t>
      </w:r>
      <w:r w:rsidR="00E7676E">
        <w:t xml:space="preserve">proposed </w:t>
      </w:r>
      <w:r w:rsidR="007E5B8C">
        <w:t>remediation</w:t>
      </w:r>
      <w:r w:rsidR="00315638">
        <w:t>.</w:t>
      </w:r>
      <w:r w:rsidR="00F91013">
        <w:t xml:space="preserve"> </w:t>
      </w:r>
      <w:r w:rsidR="008A7894">
        <w:t>Applications</w:t>
      </w:r>
      <w:r w:rsidR="0080726F" w:rsidRPr="18388E48">
        <w:t xml:space="preserve"> should provide evidence of </w:t>
      </w:r>
      <w:r w:rsidR="00856ACC">
        <w:t xml:space="preserve">any </w:t>
      </w:r>
      <w:r w:rsidR="0080726F" w:rsidRPr="18388E48">
        <w:t>preliminary negotiations with infrastructure owners and current understanding of likely access costs.</w:t>
      </w:r>
      <w:r w:rsidR="00732002">
        <w:t xml:space="preserve"> </w:t>
      </w:r>
    </w:p>
    <w:p w14:paraId="1FC19CEB" w14:textId="1D6818B9" w:rsidR="008C5C3D" w:rsidRPr="002F628A" w:rsidRDefault="00AC4401" w:rsidP="18388E48">
      <w:r w:rsidRPr="00AC6427">
        <w:rPr>
          <w:rFonts w:eastAsiaTheme="majorEastAsia" w:cstheme="majorBidi"/>
          <w:b/>
          <w:bCs/>
          <w:color w:val="385623" w:themeColor="accent6" w:themeShade="80"/>
        </w:rPr>
        <w:t>Component of a larger project</w:t>
      </w:r>
      <w:r w:rsidRPr="00AC6427">
        <w:rPr>
          <w:rFonts w:eastAsiaTheme="majorEastAsia" w:cstheme="majorBidi"/>
          <w:color w:val="385623" w:themeColor="accent6" w:themeShade="80"/>
        </w:rPr>
        <w:t>:</w:t>
      </w:r>
      <w:r w:rsidR="00AC6427">
        <w:rPr>
          <w:rFonts w:eastAsiaTheme="majorEastAsia" w:cstheme="majorBidi"/>
          <w:color w:val="385623" w:themeColor="accent6" w:themeShade="80"/>
        </w:rPr>
        <w:t xml:space="preserve"> </w:t>
      </w:r>
      <w:r w:rsidR="008C5C3D" w:rsidRPr="002F628A">
        <w:t xml:space="preserve">Where the applicant refers to integration in a larger project as a development option, provide comprehensive supporting information on the </w:t>
      </w:r>
      <w:proofErr w:type="gramStart"/>
      <w:r w:rsidR="008C5C3D" w:rsidRPr="002F628A">
        <w:t>project as a whole</w:t>
      </w:r>
      <w:proofErr w:type="gramEnd"/>
      <w:r w:rsidR="008C5C3D" w:rsidRPr="002F628A">
        <w:t xml:space="preserve">. This </w:t>
      </w:r>
      <w:r w:rsidR="00091B8E" w:rsidRPr="002F628A">
        <w:t>may include details of</w:t>
      </w:r>
      <w:r w:rsidR="008C5C3D" w:rsidRPr="002F628A">
        <w:t xml:space="preserve"> </w:t>
      </w:r>
      <w:r w:rsidR="005E7C29" w:rsidRPr="002F628A">
        <w:t>other storage formation</w:t>
      </w:r>
      <w:r w:rsidR="005826C0" w:rsidRPr="002F628A">
        <w:t>s and/</w:t>
      </w:r>
      <w:r w:rsidR="002D7CDD" w:rsidRPr="002F628A">
        <w:t xml:space="preserve">or petroleum fields which </w:t>
      </w:r>
      <w:r w:rsidR="005775B9" w:rsidRPr="002F628A">
        <w:t xml:space="preserve">utilise </w:t>
      </w:r>
      <w:r w:rsidR="00D614A9" w:rsidRPr="002F628A">
        <w:t>project facilities</w:t>
      </w:r>
      <w:r w:rsidR="00706CFA" w:rsidRPr="002F628A">
        <w:t xml:space="preserve">, or those </w:t>
      </w:r>
      <w:r w:rsidR="002D7CDD" w:rsidRPr="002F628A">
        <w:t>intended to be developed through the same facilities, and the anticipated development path for the project</w:t>
      </w:r>
      <w:r w:rsidR="00E46207" w:rsidRPr="002F628A">
        <w:t xml:space="preserve"> including timeframes</w:t>
      </w:r>
      <w:r w:rsidR="00B53933" w:rsidRPr="002F628A">
        <w:t>.</w:t>
      </w:r>
    </w:p>
    <w:p w14:paraId="714D7A17" w14:textId="30B10424" w:rsidR="0063231D" w:rsidRPr="002F628A" w:rsidRDefault="00AC4401" w:rsidP="00F7612B">
      <w:pPr>
        <w:keepNext/>
        <w:rPr>
          <w:rFonts w:eastAsiaTheme="majorEastAsia" w:cstheme="majorBidi"/>
          <w:u w:val="single"/>
        </w:rPr>
      </w:pPr>
      <w:r w:rsidRPr="00AC6427">
        <w:rPr>
          <w:rFonts w:eastAsiaTheme="majorEastAsia" w:cstheme="majorBidi"/>
          <w:b/>
          <w:bCs/>
          <w:color w:val="385623" w:themeColor="accent6" w:themeShade="80"/>
        </w:rPr>
        <w:t>Commercial route-to-market:</w:t>
      </w:r>
      <w:r>
        <w:rPr>
          <w:rFonts w:eastAsiaTheme="majorEastAsia" w:cstheme="majorBidi"/>
          <w:color w:val="385623" w:themeColor="accent6" w:themeShade="80"/>
          <w:u w:val="single"/>
        </w:rPr>
        <w:t xml:space="preserve"> </w:t>
      </w:r>
      <w:r w:rsidR="00311ACA" w:rsidRPr="002F628A">
        <w:t>The application should contain s</w:t>
      </w:r>
      <w:r w:rsidR="0063231D" w:rsidRPr="002F628A">
        <w:t>upporting information</w:t>
      </w:r>
      <w:r w:rsidR="001D1733" w:rsidRPr="002F628A">
        <w:t>,</w:t>
      </w:r>
      <w:r w:rsidR="0063231D" w:rsidRPr="002F628A">
        <w:t xml:space="preserve"> includ</w:t>
      </w:r>
      <w:r w:rsidR="001D1733" w:rsidRPr="002F628A">
        <w:t>ing</w:t>
      </w:r>
      <w:r w:rsidR="0063231D" w:rsidRPr="002F628A">
        <w:t xml:space="preserve"> market acc</w:t>
      </w:r>
      <w:r w:rsidR="00E90026" w:rsidRPr="002F628A">
        <w:t>ess, prices and timing of potential market opportunities</w:t>
      </w:r>
      <w:r w:rsidR="001B2521" w:rsidRPr="002F628A">
        <w:t>, with refen</w:t>
      </w:r>
      <w:r w:rsidR="00BA6456" w:rsidRPr="002F628A">
        <w:t xml:space="preserve">ces to </w:t>
      </w:r>
      <w:r w:rsidR="00344749" w:rsidRPr="002F628A">
        <w:t>information sources</w:t>
      </w:r>
      <w:r w:rsidR="001311E6" w:rsidRPr="002F628A">
        <w:t>.</w:t>
      </w:r>
      <w:r w:rsidR="00D55068" w:rsidRPr="002F628A">
        <w:t xml:space="preserve"> </w:t>
      </w:r>
    </w:p>
    <w:p w14:paraId="0B591BE3" w14:textId="7ED99213" w:rsidR="00E90026" w:rsidRPr="002F628A" w:rsidRDefault="00E90026" w:rsidP="18388E48">
      <w:r w:rsidRPr="002F628A">
        <w:t xml:space="preserve">Where </w:t>
      </w:r>
      <w:r w:rsidR="00D323B9" w:rsidRPr="002F628A">
        <w:t xml:space="preserve">the project </w:t>
      </w:r>
      <w:r w:rsidRPr="002F628A">
        <w:t xml:space="preserve">is dependent on securing </w:t>
      </w:r>
      <w:r w:rsidR="00600146" w:rsidRPr="002F628A">
        <w:t>source</w:t>
      </w:r>
      <w:r w:rsidR="00F758D1" w:rsidRPr="002F628A">
        <w:t>(</w:t>
      </w:r>
      <w:r w:rsidR="00600146" w:rsidRPr="002F628A">
        <w:t>s</w:t>
      </w:r>
      <w:r w:rsidR="00F758D1" w:rsidRPr="002F628A">
        <w:t>)</w:t>
      </w:r>
      <w:r w:rsidR="00600146" w:rsidRPr="002F628A">
        <w:t xml:space="preserve"> of </w:t>
      </w:r>
      <w:r w:rsidR="00191DB4" w:rsidRPr="002F628A">
        <w:t xml:space="preserve">GHG </w:t>
      </w:r>
      <w:r w:rsidR="00600146" w:rsidRPr="002F628A">
        <w:t>substances</w:t>
      </w:r>
      <w:r w:rsidR="00191DB4" w:rsidRPr="002F628A">
        <w:t xml:space="preserve">, </w:t>
      </w:r>
      <w:r w:rsidR="008A7894" w:rsidRPr="002F628A">
        <w:t xml:space="preserve">the application </w:t>
      </w:r>
      <w:r w:rsidR="00191DB4" w:rsidRPr="002F628A">
        <w:t xml:space="preserve">should provide evidence of efforts made to obtain contracts, including any information on </w:t>
      </w:r>
      <w:r w:rsidR="00180917" w:rsidRPr="002F628A">
        <w:t xml:space="preserve">approaches by third parties, engagement with potential </w:t>
      </w:r>
      <w:r w:rsidR="008357BF" w:rsidRPr="002F628A">
        <w:t xml:space="preserve">sources of </w:t>
      </w:r>
      <w:r w:rsidR="00180917" w:rsidRPr="002F628A">
        <w:t xml:space="preserve">GHG </w:t>
      </w:r>
      <w:r w:rsidR="008357BF" w:rsidRPr="002F628A">
        <w:t>substances</w:t>
      </w:r>
      <w:r w:rsidR="00180917" w:rsidRPr="002F628A">
        <w:t xml:space="preserve"> and reasons for not proceeding.</w:t>
      </w:r>
    </w:p>
    <w:p w14:paraId="3582A1A5" w14:textId="63FA742B" w:rsidR="00180917" w:rsidRPr="002F628A" w:rsidRDefault="006D7E77" w:rsidP="18388E48">
      <w:r w:rsidRPr="002F628A">
        <w:rPr>
          <w:b/>
          <w:bCs/>
        </w:rPr>
        <w:lastRenderedPageBreak/>
        <w:t>Note:</w:t>
      </w:r>
      <w:r w:rsidRPr="002F628A">
        <w:t xml:space="preserve"> NOPTA’s </w:t>
      </w:r>
      <w:r w:rsidR="00180917" w:rsidRPr="002F628A">
        <w:t xml:space="preserve">assessment may </w:t>
      </w:r>
      <w:r w:rsidR="003D4F33" w:rsidRPr="002F628A">
        <w:t>adopt</w:t>
      </w:r>
      <w:r w:rsidR="008F2DAA" w:rsidRPr="002F628A">
        <w:t xml:space="preserve"> </w:t>
      </w:r>
      <w:r w:rsidR="003D4F33" w:rsidRPr="002F628A">
        <w:t>its own</w:t>
      </w:r>
      <w:r w:rsidR="008F2DAA" w:rsidRPr="002F628A">
        <w:t xml:space="preserve"> price forecast</w:t>
      </w:r>
      <w:r w:rsidR="003D4F33" w:rsidRPr="002F628A">
        <w:t>.</w:t>
      </w:r>
      <w:r w:rsidR="008F2DAA" w:rsidRPr="002F628A">
        <w:t xml:space="preserve"> </w:t>
      </w:r>
    </w:p>
    <w:p w14:paraId="5183970D" w14:textId="6543DEEC" w:rsidR="00477772" w:rsidRDefault="00AC4401" w:rsidP="00477772">
      <w:r w:rsidRPr="00AC6427">
        <w:rPr>
          <w:rFonts w:eastAsiaTheme="majorEastAsia" w:cstheme="majorBidi"/>
          <w:b/>
          <w:bCs/>
          <w:color w:val="385623" w:themeColor="accent6" w:themeShade="80"/>
        </w:rPr>
        <w:t>Proposed Work Program</w:t>
      </w:r>
      <w:r w:rsidRPr="00AC6427">
        <w:rPr>
          <w:rFonts w:eastAsiaTheme="majorEastAsia" w:cstheme="majorBidi"/>
          <w:color w:val="385623" w:themeColor="accent6" w:themeShade="80"/>
        </w:rPr>
        <w:t>:</w:t>
      </w:r>
      <w:r>
        <w:rPr>
          <w:rFonts w:eastAsiaTheme="majorEastAsia" w:cstheme="majorBidi"/>
          <w:color w:val="385623" w:themeColor="accent6" w:themeShade="80"/>
          <w:u w:val="single"/>
        </w:rPr>
        <w:t xml:space="preserve"> </w:t>
      </w:r>
      <w:r w:rsidR="00477772">
        <w:t xml:space="preserve">Work programs are unique to each GHG holding lease. Where multiple DoSFs </w:t>
      </w:r>
      <w:r w:rsidR="000D6566" w:rsidRPr="000D6566">
        <w:t xml:space="preserve">are involved, </w:t>
      </w:r>
      <w:r w:rsidR="00477772">
        <w:t xml:space="preserve">a standalone work program </w:t>
      </w:r>
      <w:r w:rsidR="000D6566" w:rsidRPr="000D6566">
        <w:t>should be provided for each DoSF, detailing the relevant</w:t>
      </w:r>
      <w:r w:rsidR="00477772">
        <w:t xml:space="preserve"> activities and indicative </w:t>
      </w:r>
      <w:r w:rsidR="000D6566" w:rsidRPr="000D6566">
        <w:t xml:space="preserve">expenditures </w:t>
      </w:r>
      <w:r w:rsidR="00477772">
        <w:t xml:space="preserve">specific to each </w:t>
      </w:r>
      <w:r w:rsidR="000D6566" w:rsidRPr="000D6566">
        <w:t>formation.</w:t>
      </w:r>
      <w:r w:rsidR="00477772">
        <w:t xml:space="preserve"> The proposed work program </w:t>
      </w:r>
      <w:r w:rsidR="003E6DB8">
        <w:t xml:space="preserve">should </w:t>
      </w:r>
      <w:r w:rsidR="00477772">
        <w:t xml:space="preserve">clearly identify </w:t>
      </w:r>
      <w:r w:rsidR="000D6566" w:rsidRPr="000D6566">
        <w:t xml:space="preserve">which </w:t>
      </w:r>
      <w:r w:rsidR="00477772">
        <w:t xml:space="preserve">activities and </w:t>
      </w:r>
      <w:r w:rsidR="000D6566" w:rsidRPr="000D6566">
        <w:t xml:space="preserve">expenditures relate to each </w:t>
      </w:r>
      <w:r w:rsidR="00477772">
        <w:t xml:space="preserve">DoSFs, </w:t>
      </w:r>
      <w:r w:rsidR="000D6566" w:rsidRPr="000D6566">
        <w:t xml:space="preserve">as well as </w:t>
      </w:r>
      <w:r w:rsidR="00477772">
        <w:t xml:space="preserve">any activities </w:t>
      </w:r>
      <w:r w:rsidR="000D6566" w:rsidRPr="000D6566">
        <w:t>or</w:t>
      </w:r>
      <w:r w:rsidR="00477772">
        <w:t xml:space="preserve"> expenditure that </w:t>
      </w:r>
      <w:r w:rsidR="000D6566" w:rsidRPr="000D6566">
        <w:t>are</w:t>
      </w:r>
      <w:r w:rsidR="00477772">
        <w:t xml:space="preserve"> generic across the proposed lease.</w:t>
      </w:r>
      <w:r w:rsidR="00BE263A">
        <w:t xml:space="preserve"> Please refer to the </w:t>
      </w:r>
      <w:r w:rsidR="00FA44CC">
        <w:t>approved f</w:t>
      </w:r>
      <w:r w:rsidR="00262E5A">
        <w:t>or</w:t>
      </w:r>
      <w:r w:rsidR="00FA44CC">
        <w:t xml:space="preserve">m </w:t>
      </w:r>
      <w:r w:rsidR="00FD56F8">
        <w:t xml:space="preserve">and </w:t>
      </w:r>
      <w:r w:rsidR="00E11C35">
        <w:t xml:space="preserve">the related forms guidance </w:t>
      </w:r>
      <w:r w:rsidR="00FA44CC">
        <w:t xml:space="preserve">available on </w:t>
      </w:r>
      <w:hyperlink r:id="rId25">
        <w:r w:rsidR="00841D94" w:rsidRPr="4304D961">
          <w:rPr>
            <w:rStyle w:val="Hyperlink"/>
          </w:rPr>
          <w:t>NOPTA’s website</w:t>
        </w:r>
      </w:hyperlink>
      <w:r w:rsidR="00FA44CC">
        <w:t>.</w:t>
      </w:r>
    </w:p>
    <w:p w14:paraId="4046A397" w14:textId="518BBC05" w:rsidR="00477772" w:rsidRDefault="00E0220B" w:rsidP="00477772">
      <w:r>
        <w:t>T</w:t>
      </w:r>
      <w:r w:rsidR="00477772">
        <w:t xml:space="preserve">he application should </w:t>
      </w:r>
      <w:r w:rsidR="00794282">
        <w:t xml:space="preserve">include </w:t>
      </w:r>
      <w:r w:rsidR="00477772">
        <w:t xml:space="preserve">a detailed discussion of how the work program addresses the primary constraints to </w:t>
      </w:r>
      <w:r w:rsidR="005077F7">
        <w:t xml:space="preserve">the </w:t>
      </w:r>
      <w:r w:rsidR="00477772">
        <w:t xml:space="preserve">development of the </w:t>
      </w:r>
      <w:r w:rsidR="00822A39">
        <w:t>DoSF(s)</w:t>
      </w:r>
      <w:r w:rsidR="00175390">
        <w:t xml:space="preserve"> and to </w:t>
      </w:r>
      <w:r w:rsidR="00F61C86">
        <w:t>the viability of injecting and permanently storing</w:t>
      </w:r>
      <w:r w:rsidR="0056432A">
        <w:t xml:space="preserve"> a GHG substance(s) </w:t>
      </w:r>
      <w:r w:rsidR="004C65BF">
        <w:t>in the storage formation</w:t>
      </w:r>
      <w:r w:rsidR="00477772">
        <w:t xml:space="preserve">. It should </w:t>
      </w:r>
      <w:r w:rsidR="005077F7">
        <w:t xml:space="preserve">also </w:t>
      </w:r>
      <w:r w:rsidR="00477772">
        <w:t>identify key decision points inclu</w:t>
      </w:r>
      <w:r>
        <w:t>sive of</w:t>
      </w:r>
      <w:r w:rsidR="00477772">
        <w:t xml:space="preserve"> indicative timing and expenditure.</w:t>
      </w:r>
    </w:p>
    <w:p w14:paraId="70FEB7D6" w14:textId="424DB2BE" w:rsidR="00477772" w:rsidRDefault="00477772" w:rsidP="00477772">
      <w:r w:rsidRPr="18388E48">
        <w:t xml:space="preserve">The work program should </w:t>
      </w:r>
      <w:r w:rsidR="000A7815">
        <w:t xml:space="preserve">also </w:t>
      </w:r>
      <w:r w:rsidRPr="18388E48">
        <w:t xml:space="preserve">address areas where information on which to base </w:t>
      </w:r>
      <w:r>
        <w:t>project</w:t>
      </w:r>
      <w:r w:rsidRPr="18388E48">
        <w:t xml:space="preserve"> decisions is</w:t>
      </w:r>
      <w:r>
        <w:t xml:space="preserve"> currently</w:t>
      </w:r>
      <w:r w:rsidRPr="18388E48">
        <w:t xml:space="preserve"> insufficient. For example, further seismic definition, appraisal drilling, </w:t>
      </w:r>
      <w:r w:rsidRPr="007052B8">
        <w:t>environmental studies</w:t>
      </w:r>
      <w:r w:rsidRPr="18388E48">
        <w:t xml:space="preserve"> or other technical activities may be appropriate to better define the </w:t>
      </w:r>
      <w:r w:rsidR="00E26212">
        <w:t xml:space="preserve">storage </w:t>
      </w:r>
      <w:r w:rsidRPr="18388E48">
        <w:t>resource</w:t>
      </w:r>
      <w:r w:rsidR="00E26212">
        <w:t xml:space="preserve"> or </w:t>
      </w:r>
      <w:r w:rsidR="00A77ED9">
        <w:t xml:space="preserve">matters relating to the fundamental suitability determinants such as the </w:t>
      </w:r>
      <w:r w:rsidR="00E90EDB">
        <w:t xml:space="preserve">composition of the </w:t>
      </w:r>
      <w:r w:rsidR="00427E76">
        <w:t xml:space="preserve">proposed </w:t>
      </w:r>
      <w:r w:rsidR="00E90EDB">
        <w:t>GHG substance</w:t>
      </w:r>
      <w:r w:rsidR="00427E76">
        <w:t>(</w:t>
      </w:r>
      <w:r w:rsidR="00E90EDB">
        <w:t>s</w:t>
      </w:r>
      <w:r w:rsidR="00427E76">
        <w:t>)</w:t>
      </w:r>
      <w:r w:rsidR="00E90EDB">
        <w:t xml:space="preserve"> or </w:t>
      </w:r>
      <w:r w:rsidR="00427E76">
        <w:t>engineering enhancements</w:t>
      </w:r>
      <w:r w:rsidRPr="18388E48">
        <w:t xml:space="preserve">. </w:t>
      </w:r>
      <w:r w:rsidR="00CA15E5" w:rsidRPr="00BA55DC">
        <w:t>The work program should set out each activity to be undertaken as a separate item</w:t>
      </w:r>
      <w:r w:rsidR="00CA15E5">
        <w:t xml:space="preserve">, </w:t>
      </w:r>
      <w:r w:rsidR="00CA15E5" w:rsidRPr="18388E48">
        <w:t>including clear descriptions of the work to be undertaken where engineering, environmental or marketing studies are proposed</w:t>
      </w:r>
      <w:r w:rsidR="00CA15E5">
        <w:t xml:space="preserve">. </w:t>
      </w:r>
      <w:r w:rsidR="00035731">
        <w:t>If applicable</w:t>
      </w:r>
      <w:r w:rsidR="00422543">
        <w:t>, commercial activities</w:t>
      </w:r>
      <w:r w:rsidR="00AB15E7">
        <w:t xml:space="preserve"> to secure sources of </w:t>
      </w:r>
      <w:r w:rsidR="00424D92">
        <w:t xml:space="preserve">GHG substances </w:t>
      </w:r>
      <w:r w:rsidR="00AB15E7">
        <w:t>should also be included.</w:t>
      </w:r>
      <w:r w:rsidR="003D7681">
        <w:t xml:space="preserve"> </w:t>
      </w:r>
    </w:p>
    <w:p w14:paraId="76DF80BA" w14:textId="737C76B4" w:rsidR="00477772" w:rsidRDefault="008A7894" w:rsidP="00477772">
      <w:r>
        <w:t>Applications</w:t>
      </w:r>
      <w:r w:rsidRPr="18388E48">
        <w:t xml:space="preserve"> </w:t>
      </w:r>
      <w:r w:rsidR="00F825FC">
        <w:t>should also</w:t>
      </w:r>
      <w:r w:rsidR="00477772" w:rsidRPr="18388E48">
        <w:t xml:space="preserve"> identify the phasing of activities. </w:t>
      </w:r>
      <w:r w:rsidR="00AC294C">
        <w:t xml:space="preserve">While </w:t>
      </w:r>
      <w:r w:rsidR="00477772" w:rsidRPr="18388E48">
        <w:t xml:space="preserve">a year-by-year breakdown </w:t>
      </w:r>
      <w:r w:rsidR="006B2F71">
        <w:t xml:space="preserve">is generally not </w:t>
      </w:r>
      <w:r w:rsidR="00F86FD6">
        <w:t xml:space="preserve">required </w:t>
      </w:r>
      <w:r w:rsidR="00477772" w:rsidRPr="18388E48">
        <w:t>for the five</w:t>
      </w:r>
      <w:r w:rsidR="00477772">
        <w:t>-</w:t>
      </w:r>
      <w:r w:rsidR="00477772" w:rsidRPr="18388E48">
        <w:t>year GHG holding lease term</w:t>
      </w:r>
      <w:r w:rsidR="00F86FD6">
        <w:t xml:space="preserve">, </w:t>
      </w:r>
      <w:r w:rsidR="00477772" w:rsidRPr="18388E48">
        <w:t xml:space="preserve">the work program should be consistent with what a titleholder could </w:t>
      </w:r>
      <w:r w:rsidR="00075ECA">
        <w:t xml:space="preserve">reasonably </w:t>
      </w:r>
      <w:r w:rsidR="00477772" w:rsidRPr="18388E48">
        <w:t xml:space="preserve">be expected to </w:t>
      </w:r>
      <w:r w:rsidR="00ED11E5">
        <w:t xml:space="preserve">undertake to support </w:t>
      </w:r>
      <w:r w:rsidR="00663DF2">
        <w:t>timely project progression.</w:t>
      </w:r>
    </w:p>
    <w:p w14:paraId="775A66AA" w14:textId="77777777" w:rsidR="00477772" w:rsidRDefault="00477772" w:rsidP="00AA3F93">
      <w:pPr>
        <w:spacing w:after="120"/>
      </w:pPr>
      <w:r>
        <w:t xml:space="preserve">Proposed work program activities under a GHG holding lease </w:t>
      </w:r>
      <w:r w:rsidR="001A3ED9">
        <w:t xml:space="preserve">should </w:t>
      </w:r>
      <w:r>
        <w:t>include</w:t>
      </w:r>
      <w:r w:rsidR="001A3ED9">
        <w:t xml:space="preserve"> </w:t>
      </w:r>
      <w:r w:rsidR="00F75202">
        <w:t>(where applicable)</w:t>
      </w:r>
      <w:r>
        <w:t>:</w:t>
      </w:r>
    </w:p>
    <w:p w14:paraId="622174C7" w14:textId="44A176BC" w:rsidR="00477772" w:rsidRDefault="00477772" w:rsidP="00AA3F93">
      <w:pPr>
        <w:pStyle w:val="bullet"/>
        <w:numPr>
          <w:ilvl w:val="0"/>
          <w:numId w:val="16"/>
        </w:numPr>
      </w:pPr>
      <w:r>
        <w:t>project feasibility studies to bring the project closer to</w:t>
      </w:r>
      <w:r w:rsidR="00461BBA">
        <w:t xml:space="preserve"> Front</w:t>
      </w:r>
      <w:r w:rsidR="00DC2590">
        <w:t>-End Engineering Design</w:t>
      </w:r>
      <w:r>
        <w:t xml:space="preserve"> </w:t>
      </w:r>
      <w:r w:rsidR="00DC2590">
        <w:t>(</w:t>
      </w:r>
      <w:r>
        <w:t>FEED</w:t>
      </w:r>
      <w:r w:rsidR="00DC2590">
        <w:t>)</w:t>
      </w:r>
      <w:r>
        <w:t xml:space="preserve"> and </w:t>
      </w:r>
      <w:r w:rsidR="00287805">
        <w:t>Final Investment Decision</w:t>
      </w:r>
      <w:r w:rsidR="00BB6187">
        <w:t xml:space="preserve"> (</w:t>
      </w:r>
      <w:r>
        <w:t>FID</w:t>
      </w:r>
      <w:proofErr w:type="gramStart"/>
      <w:r w:rsidR="00BB6187">
        <w:t>);</w:t>
      </w:r>
      <w:proofErr w:type="gramEnd"/>
    </w:p>
    <w:p w14:paraId="79F20EE6" w14:textId="4C04AE8F" w:rsidR="00A217DA" w:rsidRDefault="00477772" w:rsidP="00AA3F93">
      <w:pPr>
        <w:pStyle w:val="bullet"/>
        <w:keepLines/>
        <w:numPr>
          <w:ilvl w:val="0"/>
          <w:numId w:val="16"/>
        </w:numPr>
        <w:ind w:left="714" w:hanging="357"/>
      </w:pPr>
      <w:r>
        <w:t xml:space="preserve">commercial negotiations with operators of third-party infrastructure, or regarding </w:t>
      </w:r>
      <w:r w:rsidR="003E52F3">
        <w:t xml:space="preserve">access to </w:t>
      </w:r>
      <w:r>
        <w:t>potential sources</w:t>
      </w:r>
      <w:r w:rsidR="001D63D5">
        <w:t xml:space="preserve"> </w:t>
      </w:r>
      <w:r>
        <w:t>of GHG substance</w:t>
      </w:r>
      <w:r w:rsidR="00087ED4">
        <w:t xml:space="preserve">(s), including compositional </w:t>
      </w:r>
      <w:proofErr w:type="gramStart"/>
      <w:r w:rsidR="00087ED4">
        <w:t>evaluation</w:t>
      </w:r>
      <w:r>
        <w:t>;</w:t>
      </w:r>
      <w:proofErr w:type="gramEnd"/>
    </w:p>
    <w:p w14:paraId="1BABE6E3" w14:textId="3F532D73" w:rsidR="00477772" w:rsidRDefault="00477772" w:rsidP="00AA3F93">
      <w:pPr>
        <w:pStyle w:val="bullet"/>
        <w:numPr>
          <w:ilvl w:val="0"/>
          <w:numId w:val="16"/>
        </w:numPr>
      </w:pPr>
      <w:r>
        <w:t xml:space="preserve">review of exploration data or proposals to undertake further appraisal </w:t>
      </w:r>
      <w:r w:rsidR="00B96D45">
        <w:t xml:space="preserve">or </w:t>
      </w:r>
      <w:r>
        <w:t>exploration activities to improve understanding of the storage formation</w:t>
      </w:r>
      <w:r w:rsidR="007A28EC">
        <w:t>(</w:t>
      </w:r>
      <w:r>
        <w:t>s</w:t>
      </w:r>
      <w:proofErr w:type="gramStart"/>
      <w:r w:rsidR="007A28EC">
        <w:t>)</w:t>
      </w:r>
      <w:r>
        <w:t>;</w:t>
      </w:r>
      <w:proofErr w:type="gramEnd"/>
    </w:p>
    <w:p w14:paraId="2CC54964" w14:textId="77777777" w:rsidR="00477772" w:rsidRDefault="00477772" w:rsidP="00AA3F93">
      <w:pPr>
        <w:pStyle w:val="bullet"/>
        <w:numPr>
          <w:ilvl w:val="0"/>
          <w:numId w:val="16"/>
        </w:numPr>
      </w:pPr>
      <w:r>
        <w:t xml:space="preserve">evaluation of legacy well barriers and development of remediation </w:t>
      </w:r>
      <w:proofErr w:type="gramStart"/>
      <w:r>
        <w:t>plans;</w:t>
      </w:r>
      <w:proofErr w:type="gramEnd"/>
      <w:r>
        <w:t xml:space="preserve"> </w:t>
      </w:r>
    </w:p>
    <w:p w14:paraId="0446D21F" w14:textId="3C54907B" w:rsidR="00AA2C91" w:rsidRDefault="00AA2C91" w:rsidP="00AA3F93">
      <w:pPr>
        <w:pStyle w:val="bullet"/>
        <w:numPr>
          <w:ilvl w:val="0"/>
          <w:numId w:val="16"/>
        </w:numPr>
      </w:pPr>
      <w:r>
        <w:t xml:space="preserve">evaluation of </w:t>
      </w:r>
      <w:r w:rsidR="003274E8">
        <w:t>existing</w:t>
      </w:r>
      <w:r w:rsidR="007B631C">
        <w:t xml:space="preserve"> petroleum</w:t>
      </w:r>
      <w:r w:rsidR="003274E8">
        <w:t xml:space="preserve"> </w:t>
      </w:r>
      <w:r>
        <w:t xml:space="preserve">infrastructure </w:t>
      </w:r>
      <w:r w:rsidR="003308DB">
        <w:t xml:space="preserve">proposed to be </w:t>
      </w:r>
      <w:r w:rsidR="0045254C">
        <w:t xml:space="preserve">re-used for </w:t>
      </w:r>
      <w:r w:rsidR="001074AA">
        <w:t>GHG injection and storage activities</w:t>
      </w:r>
      <w:r w:rsidR="003308DB">
        <w:t xml:space="preserve"> (if any</w:t>
      </w:r>
      <w:proofErr w:type="gramStart"/>
      <w:r w:rsidR="003308DB">
        <w:t>)</w:t>
      </w:r>
      <w:r>
        <w:t>;</w:t>
      </w:r>
      <w:proofErr w:type="gramEnd"/>
    </w:p>
    <w:p w14:paraId="279D3A47" w14:textId="77777777" w:rsidR="00477772" w:rsidRDefault="00477772" w:rsidP="00AA3F93">
      <w:pPr>
        <w:pStyle w:val="bullet"/>
        <w:numPr>
          <w:ilvl w:val="0"/>
          <w:numId w:val="16"/>
        </w:numPr>
      </w:pPr>
      <w:r>
        <w:t xml:space="preserve">acquisition of baseline monitoring </w:t>
      </w:r>
      <w:proofErr w:type="gramStart"/>
      <w:r>
        <w:t>data;</w:t>
      </w:r>
      <w:proofErr w:type="gramEnd"/>
    </w:p>
    <w:p w14:paraId="55D16B11" w14:textId="3F1DBDF4" w:rsidR="00477772" w:rsidRDefault="00477772" w:rsidP="00AA3F93">
      <w:pPr>
        <w:pStyle w:val="bullet"/>
        <w:numPr>
          <w:ilvl w:val="0"/>
          <w:numId w:val="16"/>
        </w:numPr>
      </w:pPr>
      <w:r>
        <w:t xml:space="preserve">review of </w:t>
      </w:r>
      <w:r w:rsidR="002B60F6">
        <w:t xml:space="preserve">new and emerging </w:t>
      </w:r>
      <w:r>
        <w:t>technolog</w:t>
      </w:r>
      <w:r w:rsidR="002B60F6">
        <w:t>ies</w:t>
      </w:r>
      <w:r>
        <w:t xml:space="preserve"> to assess </w:t>
      </w:r>
      <w:r w:rsidR="000926E3">
        <w:t xml:space="preserve">viability of other </w:t>
      </w:r>
      <w:r>
        <w:t>potential development</w:t>
      </w:r>
      <w:r w:rsidR="001B6F35">
        <w:t xml:space="preserve"> concepts</w:t>
      </w:r>
      <w:r w:rsidR="006777BE">
        <w:t>, monitoring</w:t>
      </w:r>
      <w:r w:rsidR="00A61E94">
        <w:t xml:space="preserve"> activities </w:t>
      </w:r>
      <w:r>
        <w:t xml:space="preserve">or </w:t>
      </w:r>
      <w:r w:rsidR="001C6180">
        <w:t>opportunities for</w:t>
      </w:r>
      <w:r w:rsidR="004B7F22">
        <w:t xml:space="preserve"> </w:t>
      </w:r>
      <w:r>
        <w:t>reductions in capital costs; or</w:t>
      </w:r>
    </w:p>
    <w:p w14:paraId="5E054AA2" w14:textId="77777777" w:rsidR="00477772" w:rsidRDefault="00477772" w:rsidP="00AA3F93">
      <w:pPr>
        <w:pStyle w:val="bullet"/>
        <w:numPr>
          <w:ilvl w:val="0"/>
          <w:numId w:val="16"/>
        </w:numPr>
      </w:pPr>
      <w:r>
        <w:t>development of a draft site plan.</w:t>
      </w:r>
    </w:p>
    <w:p w14:paraId="34E9F8E7" w14:textId="07E95698" w:rsidR="007A6252" w:rsidRPr="002F628A" w:rsidRDefault="00210BED" w:rsidP="00AA3F93">
      <w:pPr>
        <w:spacing w:before="240" w:after="120"/>
        <w:rPr>
          <w:rFonts w:eastAsiaTheme="majorEastAsia" w:cstheme="majorBidi"/>
          <w:u w:val="single"/>
        </w:rPr>
      </w:pPr>
      <w:r w:rsidRPr="00AC6427">
        <w:rPr>
          <w:rFonts w:eastAsiaTheme="majorEastAsia" w:cstheme="majorBidi"/>
          <w:b/>
          <w:bCs/>
          <w:color w:val="385623" w:themeColor="accent6" w:themeShade="80"/>
        </w:rPr>
        <w:t>Project economics:</w:t>
      </w:r>
      <w:r>
        <w:rPr>
          <w:rFonts w:eastAsiaTheme="majorEastAsia" w:cstheme="majorBidi"/>
          <w:color w:val="385623" w:themeColor="accent6" w:themeShade="80"/>
          <w:u w:val="single"/>
        </w:rPr>
        <w:t xml:space="preserve"> </w:t>
      </w:r>
      <w:r w:rsidR="00ED6F17" w:rsidRPr="002F628A">
        <w:t xml:space="preserve">The economic </w:t>
      </w:r>
      <w:r w:rsidR="00D373B5" w:rsidRPr="002F628A">
        <w:t xml:space="preserve">basis of the project </w:t>
      </w:r>
      <w:r w:rsidR="00616003" w:rsidRPr="002F628A">
        <w:t xml:space="preserve">will be assessed </w:t>
      </w:r>
      <w:r w:rsidR="009D315A" w:rsidRPr="002F628A">
        <w:t xml:space="preserve">by NOPTA </w:t>
      </w:r>
      <w:r w:rsidR="00805E2A" w:rsidRPr="002F628A">
        <w:t>with reference to</w:t>
      </w:r>
      <w:r w:rsidR="007A6252" w:rsidRPr="002F628A">
        <w:t>:</w:t>
      </w:r>
    </w:p>
    <w:p w14:paraId="41A547E3" w14:textId="17AAF7B3" w:rsidR="007A6252" w:rsidRPr="002F628A" w:rsidRDefault="002C2545" w:rsidP="00AA3F93">
      <w:pPr>
        <w:pStyle w:val="bullet"/>
        <w:numPr>
          <w:ilvl w:val="0"/>
          <w:numId w:val="16"/>
        </w:numPr>
      </w:pPr>
      <w:r w:rsidRPr="002F628A">
        <w:t>each</w:t>
      </w:r>
      <w:r w:rsidR="00F705CB" w:rsidRPr="002F628A">
        <w:t xml:space="preserve"> </w:t>
      </w:r>
      <w:r w:rsidRPr="002F628A">
        <w:t xml:space="preserve">viable </w:t>
      </w:r>
      <w:r w:rsidR="00F705CB" w:rsidRPr="002F628A">
        <w:t xml:space="preserve">development </w:t>
      </w:r>
      <w:r w:rsidRPr="002F628A">
        <w:t>option</w:t>
      </w:r>
      <w:r w:rsidR="00F705CB" w:rsidRPr="002F628A">
        <w:t xml:space="preserve"> (including</w:t>
      </w:r>
      <w:r w:rsidR="00197B60" w:rsidRPr="002F628A">
        <w:t xml:space="preserve"> </w:t>
      </w:r>
      <w:proofErr w:type="gramStart"/>
      <w:r w:rsidR="00197B60" w:rsidRPr="002F628A">
        <w:t>any</w:t>
      </w:r>
      <w:r w:rsidR="00966D53" w:rsidRPr="002F628A">
        <w:t xml:space="preserve"> </w:t>
      </w:r>
      <w:r w:rsidR="00F705CB" w:rsidRPr="002F628A">
        <w:t xml:space="preserve"> phased</w:t>
      </w:r>
      <w:proofErr w:type="gramEnd"/>
      <w:r w:rsidR="00F705CB" w:rsidRPr="002F628A">
        <w:t xml:space="preserve"> </w:t>
      </w:r>
      <w:r w:rsidR="00580938" w:rsidRPr="002F628A">
        <w:t>development</w:t>
      </w:r>
      <w:proofErr w:type="gramStart"/>
      <w:r w:rsidR="00580938" w:rsidRPr="002F628A">
        <w:t>);</w:t>
      </w:r>
      <w:proofErr w:type="gramEnd"/>
    </w:p>
    <w:p w14:paraId="4B4F323A" w14:textId="27597DBC" w:rsidR="00883574" w:rsidRPr="002F628A" w:rsidRDefault="00883574" w:rsidP="00AA3F93">
      <w:pPr>
        <w:pStyle w:val="bullet"/>
        <w:numPr>
          <w:ilvl w:val="0"/>
          <w:numId w:val="16"/>
        </w:numPr>
      </w:pPr>
      <w:r w:rsidRPr="002F628A">
        <w:t>carbon storage resource estimates in accordance with the Society of Petroleum Engineers Storage Resource Management System contingent storage resources levels (1C/P90, 2C/P50 and 3C/P10), and any critical uncertainties relating to these estimates</w:t>
      </w:r>
      <w:r w:rsidR="00DE4DBB" w:rsidRPr="002F628A">
        <w:t>; and</w:t>
      </w:r>
    </w:p>
    <w:p w14:paraId="0667CB50" w14:textId="55087E83" w:rsidR="005E56C7" w:rsidRPr="002F628A" w:rsidRDefault="00DE4DBB" w:rsidP="00AA3F93">
      <w:pPr>
        <w:pStyle w:val="bullet"/>
        <w:numPr>
          <w:ilvl w:val="0"/>
          <w:numId w:val="16"/>
        </w:numPr>
      </w:pPr>
      <w:r w:rsidRPr="002F628A">
        <w:t xml:space="preserve">the </w:t>
      </w:r>
      <w:r w:rsidR="00322AA7">
        <w:t xml:space="preserve">current </w:t>
      </w:r>
      <w:r w:rsidRPr="002F628A">
        <w:t>fundamental suitability determinants</w:t>
      </w:r>
      <w:r w:rsidR="00D8249E">
        <w:t xml:space="preserve"> within the DoSF</w:t>
      </w:r>
      <w:r w:rsidRPr="002F628A">
        <w:t>.</w:t>
      </w:r>
    </w:p>
    <w:p w14:paraId="09558810" w14:textId="4BC6F159" w:rsidR="00D46340" w:rsidRPr="002F628A" w:rsidRDefault="00D46340" w:rsidP="00AA3F93">
      <w:pPr>
        <w:spacing w:before="240"/>
      </w:pPr>
      <w:r w:rsidRPr="002F628A">
        <w:t xml:space="preserve">Cash flows for each viable development option </w:t>
      </w:r>
      <w:r w:rsidR="00D555B4" w:rsidRPr="002F628A">
        <w:t xml:space="preserve">should </w:t>
      </w:r>
      <w:r w:rsidRPr="002F628A">
        <w:t xml:space="preserve">be provided based on </w:t>
      </w:r>
      <w:r w:rsidR="000008EB" w:rsidRPr="002F628A">
        <w:t>storage</w:t>
      </w:r>
      <w:r w:rsidRPr="002F628A">
        <w:t xml:space="preserve"> resource estimates </w:t>
      </w:r>
      <w:r w:rsidR="000A3A1B" w:rsidRPr="002F628A">
        <w:t>as defined by the fundamental suitability determinants</w:t>
      </w:r>
      <w:r w:rsidRPr="002F628A">
        <w:t xml:space="preserve"> and current P50 estimates of capital expenditure (and cost class).</w:t>
      </w:r>
    </w:p>
    <w:p w14:paraId="17F1F26E" w14:textId="24EDC1A7" w:rsidR="003D2B98" w:rsidRPr="002F628A" w:rsidRDefault="000A2E90" w:rsidP="003D2B98">
      <w:pPr>
        <w:rPr>
          <w:b/>
          <w:bCs/>
        </w:rPr>
      </w:pPr>
      <w:r w:rsidRPr="002F628A">
        <w:t xml:space="preserve">Where an applicant’s internal economic assessment criteria </w:t>
      </w:r>
      <w:r w:rsidR="00085634" w:rsidRPr="002F628A">
        <w:t>rely</w:t>
      </w:r>
      <w:r w:rsidRPr="002F628A">
        <w:t xml:space="preserve"> on scenarios based on other level</w:t>
      </w:r>
      <w:r w:rsidR="00091F51" w:rsidRPr="002F628A">
        <w:t>s</w:t>
      </w:r>
      <w:r w:rsidRPr="002F628A">
        <w:t xml:space="preserve"> of </w:t>
      </w:r>
      <w:r w:rsidR="009E6349" w:rsidRPr="002F628A">
        <w:t xml:space="preserve">storage </w:t>
      </w:r>
      <w:r w:rsidR="002B01E1" w:rsidRPr="002F628A">
        <w:t>resource estimates</w:t>
      </w:r>
      <w:r w:rsidR="00991DFA" w:rsidRPr="002F628A">
        <w:t>,</w:t>
      </w:r>
      <w:r w:rsidR="002B01E1" w:rsidRPr="002F628A">
        <w:t xml:space="preserve"> </w:t>
      </w:r>
      <w:r w:rsidR="00483F3A" w:rsidRPr="002F628A">
        <w:t>les</w:t>
      </w:r>
      <w:r w:rsidR="00B6382F" w:rsidRPr="002F628A">
        <w:t>s</w:t>
      </w:r>
      <w:r w:rsidR="00483F3A" w:rsidRPr="002F628A">
        <w:t xml:space="preserve"> than those </w:t>
      </w:r>
      <w:r w:rsidR="00CF7FBF" w:rsidRPr="002F628A">
        <w:t>defined by the fundamental suitability determinates</w:t>
      </w:r>
      <w:r w:rsidR="00896A7C" w:rsidRPr="002F628A">
        <w:t xml:space="preserve">, </w:t>
      </w:r>
      <w:r w:rsidR="00E35555">
        <w:t>and/</w:t>
      </w:r>
      <w:r w:rsidR="005A6260">
        <w:t xml:space="preserve">or </w:t>
      </w:r>
      <w:r w:rsidR="001B1EA9">
        <w:t xml:space="preserve">a range of carbon price forecasts, </w:t>
      </w:r>
      <w:r w:rsidR="00896A7C" w:rsidRPr="002F628A">
        <w:t xml:space="preserve">cash flows for these scenarios should also be provided stating the </w:t>
      </w:r>
      <w:r w:rsidR="4EC91900" w:rsidRPr="002F628A">
        <w:t xml:space="preserve">uncertainties, </w:t>
      </w:r>
      <w:r w:rsidR="00896A7C" w:rsidRPr="002F628A">
        <w:t xml:space="preserve">sensitivity assumptions and capital cost class estimates. Minimum economic thresholds used by an applicant </w:t>
      </w:r>
      <w:r w:rsidR="008838C2" w:rsidRPr="002F628A">
        <w:t xml:space="preserve">to determine commercial viability should be </w:t>
      </w:r>
      <w:r w:rsidR="00CD64DC" w:rsidRPr="002F628A">
        <w:t>clearly set out</w:t>
      </w:r>
      <w:r w:rsidR="008838C2" w:rsidRPr="002F628A">
        <w:t>.</w:t>
      </w:r>
      <w:r w:rsidR="003D2B98" w:rsidRPr="002F628A">
        <w:rPr>
          <w:b/>
          <w:bCs/>
        </w:rPr>
        <w:t xml:space="preserve"> </w:t>
      </w:r>
    </w:p>
    <w:p w14:paraId="6F5551E1" w14:textId="71F6049F" w:rsidR="0032754A" w:rsidRDefault="003D2B98" w:rsidP="00AA3F93">
      <w:r w:rsidRPr="002F628A">
        <w:rPr>
          <w:b/>
          <w:bCs/>
        </w:rPr>
        <w:lastRenderedPageBreak/>
        <w:t xml:space="preserve">Note: </w:t>
      </w:r>
      <w:r w:rsidRPr="002F628A">
        <w:t>NOPTA will analyse</w:t>
      </w:r>
      <w:r w:rsidR="00F039F2" w:rsidRPr="002F628A">
        <w:t xml:space="preserve"> </w:t>
      </w:r>
      <w:r w:rsidRPr="002F628A">
        <w:t>the extent to which there are reasonable grounds for adopting any alternative assumptions and methodologies.</w:t>
      </w:r>
      <w:r w:rsidR="00572A3E" w:rsidRPr="002F628A">
        <w:t xml:space="preserve"> </w:t>
      </w:r>
      <w:r w:rsidR="008A7894" w:rsidRPr="002F628A">
        <w:t xml:space="preserve">Applications </w:t>
      </w:r>
      <w:r w:rsidR="008838C2" w:rsidRPr="002F628A">
        <w:t xml:space="preserve">should provide detailed </w:t>
      </w:r>
      <w:r w:rsidR="002B6691" w:rsidRPr="002F628A">
        <w:t xml:space="preserve">supporting </w:t>
      </w:r>
      <w:r w:rsidR="008838C2" w:rsidRPr="002F628A">
        <w:t>information</w:t>
      </w:r>
      <w:r w:rsidR="007B5F54" w:rsidRPr="002F628A">
        <w:t xml:space="preserve"> </w:t>
      </w:r>
      <w:proofErr w:type="gramStart"/>
      <w:r w:rsidR="00481B55" w:rsidRPr="002F628A">
        <w:t>in order to</w:t>
      </w:r>
      <w:proofErr w:type="gramEnd"/>
      <w:r w:rsidR="00F11394" w:rsidRPr="002F628A">
        <w:t xml:space="preserve"> </w:t>
      </w:r>
      <w:r w:rsidR="007B5F54" w:rsidRPr="002F628A">
        <w:t xml:space="preserve">satisfy </w:t>
      </w:r>
      <w:r w:rsidR="00F11394" w:rsidRPr="002F628A">
        <w:t xml:space="preserve">the </w:t>
      </w:r>
      <w:r w:rsidR="0098766D" w:rsidRPr="002F628A">
        <w:t>criteria</w:t>
      </w:r>
      <w:r w:rsidR="00481B55" w:rsidRPr="002F628A">
        <w:t xml:space="preserve"> </w:t>
      </w:r>
      <w:r w:rsidR="00F11394" w:rsidRPr="002F628A">
        <w:t>in sections</w:t>
      </w:r>
      <w:r w:rsidR="00924E26" w:rsidRPr="002F628A">
        <w:t xml:space="preserve"> 325, </w:t>
      </w:r>
      <w:r w:rsidR="00B731F8" w:rsidRPr="002F628A">
        <w:t xml:space="preserve">329B, </w:t>
      </w:r>
      <w:r w:rsidR="003B1131" w:rsidRPr="002F628A">
        <w:t xml:space="preserve">331, 335B and </w:t>
      </w:r>
      <w:r w:rsidR="00A8125D" w:rsidRPr="002F628A">
        <w:t>344</w:t>
      </w:r>
      <w:r w:rsidR="00FB15F7" w:rsidRPr="002F628A">
        <w:t xml:space="preserve"> </w:t>
      </w:r>
      <w:r w:rsidR="00A8125D" w:rsidRPr="002F628A">
        <w:t>of the OPGGS Act</w:t>
      </w:r>
      <w:r w:rsidR="006979A3" w:rsidRPr="002F628A">
        <w:t xml:space="preserve"> (as</w:t>
      </w:r>
      <w:r w:rsidR="00666FC3" w:rsidRPr="002F628A">
        <w:t xml:space="preserve"> applicable)</w:t>
      </w:r>
      <w:r w:rsidR="00792A60" w:rsidRPr="002F628A">
        <w:t>.</w:t>
      </w:r>
      <w:r w:rsidR="00A8125D" w:rsidRPr="002F628A">
        <w:t xml:space="preserve"> </w:t>
      </w:r>
    </w:p>
    <w:p w14:paraId="7B3591CB" w14:textId="396D3054" w:rsidR="00EA7551" w:rsidRPr="002F628A" w:rsidRDefault="008E7378" w:rsidP="008276F2">
      <w:pPr>
        <w:pStyle w:val="Heading3"/>
      </w:pPr>
      <w:r w:rsidRPr="002F628A">
        <w:t xml:space="preserve">Step </w:t>
      </w:r>
      <w:r w:rsidR="00FD6DCF" w:rsidRPr="002F628A">
        <w:t>3</w:t>
      </w:r>
      <w:r w:rsidRPr="002F628A">
        <w:t xml:space="preserve"> – Assessment</w:t>
      </w:r>
    </w:p>
    <w:p w14:paraId="15728EDE" w14:textId="346229EE" w:rsidR="008E7378" w:rsidRPr="002F628A" w:rsidRDefault="00425CCE" w:rsidP="008E36B0">
      <w:r w:rsidRPr="002F628A">
        <w:t xml:space="preserve">Once </w:t>
      </w:r>
      <w:r w:rsidR="008E7378" w:rsidRPr="002F628A">
        <w:t>all relevant information has been provided by the applicant, NOPTA</w:t>
      </w:r>
      <w:r w:rsidR="00E867B3" w:rsidRPr="002F628A">
        <w:t>,</w:t>
      </w:r>
      <w:r w:rsidR="008E7378" w:rsidRPr="002F628A">
        <w:t xml:space="preserve"> in consultation with </w:t>
      </w:r>
      <w:r w:rsidR="003F5A5E" w:rsidRPr="002F628A">
        <w:t>the National Offshore Petroleum Safety and Environmental Management Authority (</w:t>
      </w:r>
      <w:r w:rsidR="008E7378" w:rsidRPr="002F628A">
        <w:rPr>
          <w:b/>
        </w:rPr>
        <w:t>NOPSEMA</w:t>
      </w:r>
      <w:r w:rsidR="00A271F8" w:rsidRPr="002F628A">
        <w:t>)</w:t>
      </w:r>
      <w:r w:rsidR="008E7378" w:rsidRPr="002F628A">
        <w:t xml:space="preserve"> (as applicable)</w:t>
      </w:r>
      <w:r w:rsidR="00E867B3" w:rsidRPr="002F628A">
        <w:t>,</w:t>
      </w:r>
      <w:r w:rsidR="008E7378" w:rsidRPr="002F628A">
        <w:t xml:space="preserve"> will assess the application against the relevant criteria and provide advice to the </w:t>
      </w:r>
      <w:r w:rsidR="009A4804" w:rsidRPr="002F628A">
        <w:t xml:space="preserve">RCM </w:t>
      </w:r>
      <w:r w:rsidR="004B5B80" w:rsidRPr="002F628A">
        <w:t xml:space="preserve">(or Cross-Boundary Authority </w:t>
      </w:r>
      <w:r w:rsidR="00104C59" w:rsidRPr="002F628A">
        <w:t>(</w:t>
      </w:r>
      <w:r w:rsidR="00104C59" w:rsidRPr="002F628A">
        <w:rPr>
          <w:b/>
          <w:bCs/>
        </w:rPr>
        <w:t>CBA</w:t>
      </w:r>
      <w:r w:rsidR="00104C59" w:rsidRPr="002F628A">
        <w:t xml:space="preserve">) </w:t>
      </w:r>
      <w:r w:rsidR="004B5B80" w:rsidRPr="002F628A">
        <w:t xml:space="preserve">if applicable) </w:t>
      </w:r>
      <w:r w:rsidR="00F311F5" w:rsidRPr="002F628A">
        <w:t>for decision.</w:t>
      </w:r>
    </w:p>
    <w:p w14:paraId="5BCD3217" w14:textId="614CDBB7" w:rsidR="00E279F6" w:rsidRPr="002F628A" w:rsidRDefault="00E279F6" w:rsidP="00AA3F93">
      <w:pPr>
        <w:spacing w:after="120"/>
      </w:pPr>
      <w:r w:rsidRPr="002F628A">
        <w:t>For all holding lease application</w:t>
      </w:r>
      <w:r w:rsidR="00EE27E3" w:rsidRPr="002F628A">
        <w:t>s</w:t>
      </w:r>
      <w:r w:rsidR="008A263A" w:rsidRPr="002F628A">
        <w:t xml:space="preserve">, the </w:t>
      </w:r>
      <w:r w:rsidRPr="002F628A">
        <w:t xml:space="preserve">assessment </w:t>
      </w:r>
      <w:r w:rsidR="002F2687" w:rsidRPr="002F628A">
        <w:t xml:space="preserve">will be made </w:t>
      </w:r>
      <w:r w:rsidR="00B21D1B" w:rsidRPr="002F628A">
        <w:t>in respect of the</w:t>
      </w:r>
      <w:r w:rsidR="004209E3" w:rsidRPr="002F628A">
        <w:t xml:space="preserve"> </w:t>
      </w:r>
      <w:r w:rsidR="00AC3D07" w:rsidRPr="002F628A">
        <w:t>matters set out in section</w:t>
      </w:r>
      <w:r w:rsidR="000E54D2" w:rsidRPr="002F628A">
        <w:t>s</w:t>
      </w:r>
      <w:r w:rsidR="00AC3D07" w:rsidRPr="002F628A">
        <w:t xml:space="preserve"> 325</w:t>
      </w:r>
      <w:r w:rsidR="000E54D2" w:rsidRPr="002F628A">
        <w:t xml:space="preserve">, 329B, 331, </w:t>
      </w:r>
      <w:r w:rsidR="001C04D6" w:rsidRPr="002F628A">
        <w:t>335</w:t>
      </w:r>
      <w:r w:rsidR="00AB236E" w:rsidRPr="002F628A">
        <w:t>B</w:t>
      </w:r>
      <w:r w:rsidR="001C04D6" w:rsidRPr="002F628A">
        <w:t>, or 34</w:t>
      </w:r>
      <w:r w:rsidR="00AB236E" w:rsidRPr="002F628A">
        <w:t>4</w:t>
      </w:r>
      <w:r w:rsidR="001C04D6" w:rsidRPr="002F628A">
        <w:t xml:space="preserve"> of the OPGGS Act </w:t>
      </w:r>
      <w:r w:rsidR="00C6185D" w:rsidRPr="002F628A">
        <w:t>(as</w:t>
      </w:r>
      <w:r w:rsidR="001C04D6" w:rsidRPr="002F628A">
        <w:t xml:space="preserve"> applicable</w:t>
      </w:r>
      <w:r w:rsidR="00C6185D" w:rsidRPr="002F628A">
        <w:t>)</w:t>
      </w:r>
      <w:r w:rsidR="0043566B" w:rsidRPr="002F628A">
        <w:t xml:space="preserve">, </w:t>
      </w:r>
      <w:r w:rsidR="001C04D6" w:rsidRPr="002F628A">
        <w:t>and</w:t>
      </w:r>
      <w:r w:rsidR="0043566B" w:rsidRPr="002F628A">
        <w:t xml:space="preserve"> include:</w:t>
      </w:r>
    </w:p>
    <w:p w14:paraId="4C2592F2" w14:textId="15924283" w:rsidR="001C1E45" w:rsidRPr="002F628A" w:rsidRDefault="005F7C99" w:rsidP="00AA3F93">
      <w:pPr>
        <w:pStyle w:val="bullet"/>
        <w:numPr>
          <w:ilvl w:val="0"/>
          <w:numId w:val="15"/>
        </w:numPr>
      </w:pPr>
      <w:r w:rsidRPr="002F628A">
        <w:t xml:space="preserve">whether the </w:t>
      </w:r>
      <w:r w:rsidR="00F95056" w:rsidRPr="002F628A">
        <w:t xml:space="preserve">applicant is </w:t>
      </w:r>
      <w:r w:rsidR="00137848" w:rsidRPr="002F628A">
        <w:t>not</w:t>
      </w:r>
      <w:r w:rsidR="00682174" w:rsidRPr="002F628A">
        <w:t>,</w:t>
      </w:r>
      <w:r w:rsidR="00137848" w:rsidRPr="002F628A">
        <w:t xml:space="preserve"> </w:t>
      </w:r>
      <w:r w:rsidR="00252AB8" w:rsidRPr="002F628A">
        <w:t>at the time of application</w:t>
      </w:r>
      <w:r w:rsidR="00682174" w:rsidRPr="002F628A">
        <w:t>,</w:t>
      </w:r>
      <w:r w:rsidR="00137848" w:rsidRPr="002F628A">
        <w:t xml:space="preserve"> </w:t>
      </w:r>
      <w:r w:rsidR="00F95056" w:rsidRPr="002F628A">
        <w:t xml:space="preserve">in a position </w:t>
      </w:r>
      <w:r w:rsidR="00317461" w:rsidRPr="002F628A">
        <w:t xml:space="preserve">to </w:t>
      </w:r>
      <w:r w:rsidR="00693B0E" w:rsidRPr="002F628A">
        <w:t xml:space="preserve">inject and permanently store a </w:t>
      </w:r>
      <w:r w:rsidR="00411209" w:rsidRPr="002F628A">
        <w:t>GHG</w:t>
      </w:r>
      <w:r w:rsidR="00693B0E" w:rsidRPr="002F628A">
        <w:t xml:space="preserve"> substance into the DoSF concerned</w:t>
      </w:r>
      <w:r w:rsidR="000E2CB5" w:rsidRPr="002F628A">
        <w:t xml:space="preserve"> (or at least one of the DoSFs concerned in the case of multiple DoSFs)</w:t>
      </w:r>
      <w:r w:rsidR="00137848" w:rsidRPr="002F628A">
        <w:t xml:space="preserve">, but is likely to be </w:t>
      </w:r>
      <w:r w:rsidR="00942E5D" w:rsidRPr="002F628A">
        <w:t>within 15 years</w:t>
      </w:r>
      <w:r w:rsidR="00633CC0" w:rsidRPr="002F628A">
        <w:t>;</w:t>
      </w:r>
      <w:r w:rsidR="00B7386E" w:rsidRPr="002F628A">
        <w:t xml:space="preserve"> and</w:t>
      </w:r>
      <w:r w:rsidR="00633CC0" w:rsidRPr="002F628A">
        <w:t xml:space="preserve"> </w:t>
      </w:r>
    </w:p>
    <w:p w14:paraId="077EA6D1" w14:textId="7EC7AA94" w:rsidR="006F6566" w:rsidRPr="002F628A" w:rsidRDefault="006F6566" w:rsidP="00AA3F93">
      <w:pPr>
        <w:pStyle w:val="bullet"/>
        <w:numPr>
          <w:ilvl w:val="0"/>
          <w:numId w:val="15"/>
        </w:numPr>
      </w:pPr>
      <w:r w:rsidRPr="002F628A">
        <w:t>whether the proposed work program</w:t>
      </w:r>
      <w:r w:rsidR="00252D5F" w:rsidRPr="002F628A">
        <w:t xml:space="preserve"> </w:t>
      </w:r>
      <w:r w:rsidRPr="002F628A">
        <w:t xml:space="preserve"> sufficient</w:t>
      </w:r>
      <w:r w:rsidR="00252D5F" w:rsidRPr="002F628A">
        <w:t xml:space="preserve">ly </w:t>
      </w:r>
      <w:r w:rsidRPr="002F628A">
        <w:t>reduce</w:t>
      </w:r>
      <w:r w:rsidR="00252D5F" w:rsidRPr="002F628A">
        <w:t>s</w:t>
      </w:r>
      <w:r w:rsidRPr="002F628A">
        <w:t xml:space="preserve"> the barriers to project viability;</w:t>
      </w:r>
      <w:r w:rsidR="00B7386E" w:rsidRPr="002F628A">
        <w:t xml:space="preserve"> and</w:t>
      </w:r>
      <w:r w:rsidRPr="002F628A">
        <w:t xml:space="preserve"> </w:t>
      </w:r>
    </w:p>
    <w:p w14:paraId="617EEC9A" w14:textId="60575519" w:rsidR="00633CC0" w:rsidRPr="002F628A" w:rsidRDefault="00504260" w:rsidP="00AA3F93">
      <w:pPr>
        <w:pStyle w:val="bullet"/>
        <w:numPr>
          <w:ilvl w:val="0"/>
          <w:numId w:val="15"/>
        </w:numPr>
      </w:pPr>
      <w:r w:rsidRPr="002F628A">
        <w:t>whether the technical and financial resources available to the applicant are sufficient to carry out the works</w:t>
      </w:r>
      <w:r w:rsidR="00252D5F" w:rsidRPr="002F628A">
        <w:t xml:space="preserve">, </w:t>
      </w:r>
      <w:r w:rsidRPr="002F628A">
        <w:t xml:space="preserve">authorised by the lease and discharge </w:t>
      </w:r>
      <w:r w:rsidR="003B36B1" w:rsidRPr="002F628A">
        <w:t>the obligations imposed under the OPGGS Act in relation to the lease</w:t>
      </w:r>
      <w:r w:rsidR="00B7386E" w:rsidRPr="002F628A">
        <w:t>.</w:t>
      </w:r>
      <w:r w:rsidR="00B35E32" w:rsidRPr="002F628A">
        <w:rPr>
          <w:rStyle w:val="FootnoteReference"/>
        </w:rPr>
        <w:footnoteReference w:id="7"/>
      </w:r>
      <w:r w:rsidR="00252541" w:rsidRPr="002F628A">
        <w:t xml:space="preserve"> </w:t>
      </w:r>
    </w:p>
    <w:p w14:paraId="7E549B2C" w14:textId="566103AC" w:rsidR="00FC193B" w:rsidRDefault="00FC193B" w:rsidP="00AA3F93">
      <w:pPr>
        <w:pStyle w:val="bullet"/>
      </w:pPr>
      <w:r w:rsidRPr="002F628A">
        <w:t>Please see</w:t>
      </w:r>
      <w:r w:rsidR="00CF12A3" w:rsidRPr="002F628A">
        <w:t xml:space="preserve"> </w:t>
      </w:r>
      <w:hyperlink r:id="rId26">
        <w:r w:rsidR="00841D94" w:rsidRPr="4304D961">
          <w:rPr>
            <w:rStyle w:val="Hyperlink"/>
          </w:rPr>
          <w:t>NOPTA’s website</w:t>
        </w:r>
      </w:hyperlink>
      <w:r w:rsidR="00CF12A3">
        <w:t xml:space="preserve"> and</w:t>
      </w:r>
      <w:r>
        <w:t xml:space="preserve"> the </w:t>
      </w:r>
      <w:r w:rsidR="00E11C35">
        <w:t xml:space="preserve">related forms guidance </w:t>
      </w:r>
      <w:r>
        <w:t xml:space="preserve">for further information </w:t>
      </w:r>
      <w:r w:rsidR="004D5E10">
        <w:t xml:space="preserve">in relation to applicant suitability, </w:t>
      </w:r>
      <w:r w:rsidR="003278E4">
        <w:t>declaration</w:t>
      </w:r>
      <w:r w:rsidR="00A31900">
        <w:t xml:space="preserve"> of </w:t>
      </w:r>
      <w:r w:rsidR="003278E4">
        <w:t>experience</w:t>
      </w:r>
      <w:r w:rsidR="00A31900">
        <w:t xml:space="preserve"> and </w:t>
      </w:r>
      <w:r w:rsidR="003278E4">
        <w:t>disclosures</w:t>
      </w:r>
      <w:r w:rsidR="00E11C35">
        <w:t xml:space="preserve"> and notification of events</w:t>
      </w:r>
      <w:r w:rsidR="003278E4">
        <w:t xml:space="preserve">, </w:t>
      </w:r>
      <w:r w:rsidR="00A31900">
        <w:t>financial resources</w:t>
      </w:r>
      <w:r w:rsidR="00D155C0">
        <w:t>,</w:t>
      </w:r>
      <w:r w:rsidR="003278E4">
        <w:t xml:space="preserve"> and </w:t>
      </w:r>
      <w:r w:rsidR="00E11C35">
        <w:t>signatures</w:t>
      </w:r>
      <w:r w:rsidR="00A31900">
        <w:t>.</w:t>
      </w:r>
    </w:p>
    <w:p w14:paraId="05089E62" w14:textId="7EE28DD7" w:rsidR="003D19E4" w:rsidRDefault="00DC19C2" w:rsidP="00AA3F93">
      <w:pPr>
        <w:pStyle w:val="bullet"/>
      </w:pPr>
      <w:r>
        <w:t xml:space="preserve">We would </w:t>
      </w:r>
      <w:r w:rsidR="00A01977">
        <w:t>recommend</w:t>
      </w:r>
      <w:r>
        <w:t xml:space="preserve"> </w:t>
      </w:r>
      <w:r w:rsidR="003D19E4">
        <w:t>allow</w:t>
      </w:r>
      <w:r w:rsidR="00A01977">
        <w:t>ing</w:t>
      </w:r>
      <w:r w:rsidR="003D19E4">
        <w:t xml:space="preserve"> up to </w:t>
      </w:r>
      <w:r w:rsidR="004652DE">
        <w:t>three</w:t>
      </w:r>
      <w:r w:rsidR="003D19E4">
        <w:t xml:space="preserve"> months for a GHG holding lease to be assessed by NOPTA. Th</w:t>
      </w:r>
      <w:r w:rsidR="00A01977">
        <w:t xml:space="preserve">is </w:t>
      </w:r>
      <w:r w:rsidR="00EA626D">
        <w:t xml:space="preserve">is </w:t>
      </w:r>
      <w:r w:rsidR="00A01977">
        <w:t>an</w:t>
      </w:r>
      <w:r w:rsidR="0076544F">
        <w:t xml:space="preserve"> indicative estimate, </w:t>
      </w:r>
      <w:r w:rsidR="00A312DA">
        <w:t>conti</w:t>
      </w:r>
      <w:r w:rsidR="00F412E8">
        <w:t xml:space="preserve">ngent </w:t>
      </w:r>
      <w:r w:rsidR="00717C3A">
        <w:t xml:space="preserve">on </w:t>
      </w:r>
      <w:r w:rsidR="00943371">
        <w:t xml:space="preserve">any subsequent </w:t>
      </w:r>
      <w:r w:rsidR="00717C3A">
        <w:t>requests</w:t>
      </w:r>
      <w:r w:rsidR="00F412E8">
        <w:t xml:space="preserve"> for further information</w:t>
      </w:r>
      <w:r w:rsidR="006B2044">
        <w:t xml:space="preserve">. </w:t>
      </w:r>
    </w:p>
    <w:p w14:paraId="1644FFCF" w14:textId="1C8BEA51" w:rsidR="00E73070" w:rsidRPr="000D1C5B" w:rsidRDefault="00E73070" w:rsidP="00AA3F93">
      <w:pPr>
        <w:rPr>
          <w:b/>
          <w:bCs/>
        </w:rPr>
      </w:pPr>
      <w:r>
        <w:rPr>
          <w:b/>
          <w:bCs/>
        </w:rPr>
        <w:t>Note:</w:t>
      </w:r>
      <w:r w:rsidRPr="003F465D">
        <w:t xml:space="preserve"> </w:t>
      </w:r>
      <w:r w:rsidR="00A97BD7" w:rsidRPr="003F465D">
        <w:t xml:space="preserve">the </w:t>
      </w:r>
      <w:r>
        <w:t xml:space="preserve">assessment process for a GHG holding lease does not evaluate </w:t>
      </w:r>
      <w:r w:rsidR="003D19E4">
        <w:t xml:space="preserve">the suitability of </w:t>
      </w:r>
      <w:r w:rsidR="008960A3">
        <w:t xml:space="preserve">the development concepts </w:t>
      </w:r>
      <w:r w:rsidR="00001AFF">
        <w:t xml:space="preserve">presented (including those </w:t>
      </w:r>
      <w:r w:rsidR="00270C9A">
        <w:t xml:space="preserve">involving </w:t>
      </w:r>
      <w:r w:rsidR="00001AFF">
        <w:t>re-use of infrastructure)</w:t>
      </w:r>
      <w:r w:rsidR="00FA0032">
        <w:t>,</w:t>
      </w:r>
      <w:r w:rsidR="00257155">
        <w:t xml:space="preserve"> beyond the information required to </w:t>
      </w:r>
      <w:r w:rsidR="000D1C5B">
        <w:t>demonstrate that the applicant is</w:t>
      </w:r>
      <w:r w:rsidR="00046C94">
        <w:t xml:space="preserve"> not currently able to inject and permanently store a GHG substance but is likely to be able to do so within 15 years</w:t>
      </w:r>
      <w:r w:rsidR="005C0F7A">
        <w:t>. The</w:t>
      </w:r>
      <w:r w:rsidR="00001AFF">
        <w:t xml:space="preserve"> </w:t>
      </w:r>
      <w:r w:rsidR="005C0F7A">
        <w:t xml:space="preserve">detailed </w:t>
      </w:r>
      <w:r w:rsidR="00135401">
        <w:t xml:space="preserve">evaluation of development concepts </w:t>
      </w:r>
      <w:r w:rsidR="005972DC">
        <w:t xml:space="preserve">is </w:t>
      </w:r>
      <w:r w:rsidR="0009724E">
        <w:t xml:space="preserve">undertaken </w:t>
      </w:r>
      <w:r w:rsidR="005972DC">
        <w:t xml:space="preserve">through separate </w:t>
      </w:r>
      <w:r w:rsidR="009C7958">
        <w:t xml:space="preserve">regulatory submissions </w:t>
      </w:r>
      <w:r w:rsidR="003F5A5E">
        <w:t xml:space="preserve">and processes managed by </w:t>
      </w:r>
      <w:r w:rsidR="009C7958">
        <w:t xml:space="preserve">both NOPTA and </w:t>
      </w:r>
      <w:r w:rsidR="00A159B8">
        <w:t>NOPSEMA.</w:t>
      </w:r>
    </w:p>
    <w:p w14:paraId="47C87B9C" w14:textId="2CE3E574" w:rsidR="00E279F6" w:rsidRDefault="00E279F6" w:rsidP="008276F2">
      <w:pPr>
        <w:pStyle w:val="Heading3"/>
      </w:pPr>
      <w:r>
        <w:t xml:space="preserve">Step </w:t>
      </w:r>
      <w:r w:rsidR="008E54CF">
        <w:t>4</w:t>
      </w:r>
      <w:r>
        <w:t xml:space="preserve"> – Offer, acceptance and grant</w:t>
      </w:r>
    </w:p>
    <w:p w14:paraId="585552F3" w14:textId="4EE66FB4" w:rsidR="00264671" w:rsidRDefault="00264671" w:rsidP="00AA3F93">
      <w:pPr>
        <w:spacing w:after="120"/>
      </w:pPr>
      <w:r>
        <w:t xml:space="preserve">Where an application is made </w:t>
      </w:r>
      <w:r w:rsidR="00BD2F8B">
        <w:t xml:space="preserve">pursuant to </w:t>
      </w:r>
      <w:r>
        <w:t>sections 324</w:t>
      </w:r>
      <w:r w:rsidR="003E7EF9">
        <w:t>, 329A, 330, 335A or 343 of the OPGGS Act</w:t>
      </w:r>
      <w:r w:rsidR="00C730F3">
        <w:t>,</w:t>
      </w:r>
      <w:r w:rsidR="003E7EF9">
        <w:t xml:space="preserve"> and the RCM or C</w:t>
      </w:r>
      <w:r w:rsidR="00104C59">
        <w:t xml:space="preserve">BA </w:t>
      </w:r>
      <w:r w:rsidR="00086F88">
        <w:t>(</w:t>
      </w:r>
      <w:r w:rsidR="003E7EF9">
        <w:t>as applicable</w:t>
      </w:r>
      <w:r w:rsidR="00086F88">
        <w:t>)</w:t>
      </w:r>
      <w:r w:rsidR="003E7EF9">
        <w:t xml:space="preserve"> </w:t>
      </w:r>
      <w:r w:rsidR="00DE2CB2">
        <w:t xml:space="preserve">is </w:t>
      </w:r>
      <w:r w:rsidR="003E7EF9">
        <w:t xml:space="preserve">satisfied of the matters outlined in sections 325, 329B, 331, 335B and 344 of the OPGGS Act, the RCM or CBA </w:t>
      </w:r>
      <w:r w:rsidR="00E2069D">
        <w:t>(</w:t>
      </w:r>
      <w:r w:rsidR="003E7EF9">
        <w:t>as applicable</w:t>
      </w:r>
      <w:r w:rsidR="00E2069D">
        <w:t>)</w:t>
      </w:r>
      <w:r w:rsidR="003E7EF9">
        <w:t xml:space="preserve"> must </w:t>
      </w:r>
      <w:r w:rsidR="00A37936">
        <w:t>give</w:t>
      </w:r>
      <w:r w:rsidR="006A74AD">
        <w:t xml:space="preserve"> to the applicant</w:t>
      </w:r>
      <w:r w:rsidR="00A37936">
        <w:t xml:space="preserve"> </w:t>
      </w:r>
      <w:r w:rsidR="003E7EF9">
        <w:t xml:space="preserve">an offer document </w:t>
      </w:r>
      <w:r w:rsidR="006A74AD">
        <w:t xml:space="preserve">stating that the RCM or CBA </w:t>
      </w:r>
      <w:r w:rsidR="003A0E63">
        <w:t xml:space="preserve">is prepared to grant a </w:t>
      </w:r>
      <w:r w:rsidR="004E1F4F">
        <w:t xml:space="preserve">GHG </w:t>
      </w:r>
      <w:r w:rsidR="003A0E63">
        <w:t>holding lease</w:t>
      </w:r>
      <w:r w:rsidR="004E1F4F">
        <w:t xml:space="preserve"> over the block(s) specified in the application</w:t>
      </w:r>
      <w:r w:rsidR="003E7EF9">
        <w:t>.</w:t>
      </w:r>
      <w:r w:rsidR="005A795F">
        <w:rPr>
          <w:rStyle w:val="FootnoteReference"/>
        </w:rPr>
        <w:footnoteReference w:id="8"/>
      </w:r>
    </w:p>
    <w:p w14:paraId="3E92D9A3" w14:textId="240D23C0" w:rsidR="006B7858" w:rsidRDefault="006B7858" w:rsidP="00AA3F93">
      <w:pPr>
        <w:pStyle w:val="bullet"/>
      </w:pPr>
      <w:r>
        <w:t>To accept the offer, the applicant must:</w:t>
      </w:r>
    </w:p>
    <w:p w14:paraId="5178E43A" w14:textId="660B9690" w:rsidR="00B06885" w:rsidRDefault="00DE2CB2" w:rsidP="00AA3F93">
      <w:pPr>
        <w:pStyle w:val="bullet"/>
        <w:numPr>
          <w:ilvl w:val="0"/>
          <w:numId w:val="22"/>
        </w:numPr>
      </w:pPr>
      <w:r>
        <w:t xml:space="preserve">by written </w:t>
      </w:r>
      <w:r w:rsidR="008100B1">
        <w:t>notice request</w:t>
      </w:r>
      <w:r w:rsidR="00B06885" w:rsidRPr="18388E48">
        <w:t xml:space="preserve"> </w:t>
      </w:r>
      <w:r w:rsidR="002D489F">
        <w:t xml:space="preserve">the </w:t>
      </w:r>
      <w:r w:rsidR="00B06885" w:rsidRPr="18388E48">
        <w:t>grant of the</w:t>
      </w:r>
      <w:r w:rsidR="009E0D8E">
        <w:t xml:space="preserve"> lease </w:t>
      </w:r>
      <w:r w:rsidR="00B06885" w:rsidRPr="18388E48">
        <w:t xml:space="preserve">under section 431 or 431A of the OPGGS Act </w:t>
      </w:r>
      <w:r w:rsidR="00DF0B36">
        <w:t>with</w:t>
      </w:r>
      <w:r w:rsidR="00B06885" w:rsidRPr="18388E48">
        <w:t xml:space="preserve">in the applicable timeframe. This period </w:t>
      </w:r>
      <w:r w:rsidR="00593BBA">
        <w:t>is</w:t>
      </w:r>
      <w:r w:rsidR="00B06885" w:rsidRPr="18388E48">
        <w:t xml:space="preserve"> 30 days</w:t>
      </w:r>
      <w:r w:rsidR="00593BBA">
        <w:t>,</w:t>
      </w:r>
      <w:r w:rsidR="00B06885" w:rsidRPr="18388E48">
        <w:t xml:space="preserve"> unless a longer period not exceeding 60 days has been requested and approved by the RCM; and</w:t>
      </w:r>
    </w:p>
    <w:p w14:paraId="44FC3383" w14:textId="672D4229" w:rsidR="00B06885" w:rsidRDefault="00B06885" w:rsidP="00AA3F93">
      <w:pPr>
        <w:pStyle w:val="bullet"/>
        <w:numPr>
          <w:ilvl w:val="0"/>
          <w:numId w:val="22"/>
        </w:numPr>
      </w:pPr>
      <w:r w:rsidRPr="18388E48">
        <w:t xml:space="preserve">lodge </w:t>
      </w:r>
      <w:r w:rsidR="006526FB">
        <w:t xml:space="preserve">with the RCM </w:t>
      </w:r>
      <w:r w:rsidR="00466AEF">
        <w:t>a</w:t>
      </w:r>
      <w:r w:rsidRPr="18388E48">
        <w:t xml:space="preserve"> security </w:t>
      </w:r>
      <w:r w:rsidR="00466AEF">
        <w:t xml:space="preserve">in the form and amount </w:t>
      </w:r>
      <w:r w:rsidRPr="18388E48">
        <w:t xml:space="preserve">specified in the offer </w:t>
      </w:r>
      <w:r w:rsidR="00466AEF">
        <w:t xml:space="preserve">document (if any) </w:t>
      </w:r>
      <w:r w:rsidRPr="18388E48">
        <w:t>within the same timeframe applicable to accept the offer.</w:t>
      </w:r>
    </w:p>
    <w:p w14:paraId="50830DA6" w14:textId="41550450" w:rsidR="0056553D" w:rsidRDefault="0056553D" w:rsidP="00AA3F93">
      <w:pPr>
        <w:pStyle w:val="bullet"/>
      </w:pPr>
      <w:r>
        <w:t xml:space="preserve">If the applicant </w:t>
      </w:r>
      <w:r w:rsidRPr="18388E48">
        <w:t xml:space="preserve">makes a request for the grant of the GHG holding lease and </w:t>
      </w:r>
      <w:r w:rsidR="00834F8C">
        <w:t xml:space="preserve">has </w:t>
      </w:r>
      <w:r w:rsidRPr="18388E48">
        <w:t>lodge</w:t>
      </w:r>
      <w:r w:rsidR="00834F8C">
        <w:t>d</w:t>
      </w:r>
      <w:r w:rsidRPr="18388E48">
        <w:t xml:space="preserve"> </w:t>
      </w:r>
      <w:r w:rsidR="00AC7CE4">
        <w:t>the specified</w:t>
      </w:r>
      <w:r w:rsidRPr="18388E48">
        <w:t xml:space="preserve"> security </w:t>
      </w:r>
      <w:r w:rsidR="00B10810">
        <w:t xml:space="preserve">with the RCM </w:t>
      </w:r>
      <w:r w:rsidR="00AB29A0">
        <w:t xml:space="preserve">(if any) </w:t>
      </w:r>
      <w:r w:rsidRPr="18388E48">
        <w:t>in the applicable timeframe</w:t>
      </w:r>
      <w:r w:rsidR="00F179BD">
        <w:t xml:space="preserve"> (see section 433 </w:t>
      </w:r>
      <w:r w:rsidR="00347CFE">
        <w:t>of the OPGGS Act)</w:t>
      </w:r>
      <w:r w:rsidRPr="18388E48">
        <w:t>, the RCM or CBA</w:t>
      </w:r>
      <w:r w:rsidR="005E0E7C">
        <w:t>,</w:t>
      </w:r>
      <w:r w:rsidRPr="18388E48">
        <w:t xml:space="preserve"> as applicable</w:t>
      </w:r>
      <w:r w:rsidR="005E0E7C">
        <w:t>,</w:t>
      </w:r>
      <w:r w:rsidRPr="18388E48">
        <w:t xml:space="preserve"> must grant a GHG holding lease to the applicant </w:t>
      </w:r>
      <w:r w:rsidR="0078549F">
        <w:t xml:space="preserve"> over the block or blocks specified in the offer document </w:t>
      </w:r>
      <w:r w:rsidRPr="18388E48">
        <w:t>(</w:t>
      </w:r>
      <w:r w:rsidR="00E758A1">
        <w:t>see</w:t>
      </w:r>
      <w:r w:rsidRPr="18388E48">
        <w:t xml:space="preserve"> sections 327, 329D, 333, 335D and 345 of the OPGGS Act).</w:t>
      </w:r>
    </w:p>
    <w:p w14:paraId="59C45FB7" w14:textId="2E011BD0" w:rsidR="006B6829" w:rsidRPr="00201689" w:rsidRDefault="006B6829" w:rsidP="00AA3F93">
      <w:pPr>
        <w:pStyle w:val="Heading2"/>
      </w:pPr>
      <w:r w:rsidRPr="00201689">
        <w:lastRenderedPageBreak/>
        <w:t>Variation of the application</w:t>
      </w:r>
    </w:p>
    <w:p w14:paraId="05271F86" w14:textId="62D6CCC0" w:rsidR="00BE07C9" w:rsidRDefault="00853E1E" w:rsidP="00AA3F93">
      <w:pPr>
        <w:keepNext/>
        <w:keepLines/>
      </w:pPr>
      <w:r>
        <w:t xml:space="preserve">Pursuant to </w:t>
      </w:r>
      <w:r w:rsidR="00834E77">
        <w:t xml:space="preserve">subsections </w:t>
      </w:r>
      <w:r w:rsidR="00C15077">
        <w:t xml:space="preserve">324(10-15), </w:t>
      </w:r>
      <w:r w:rsidR="00BE07C9">
        <w:t xml:space="preserve">329A(10-15), </w:t>
      </w:r>
      <w:r w:rsidR="00BE07C9" w:rsidRPr="00244ED5">
        <w:t>330</w:t>
      </w:r>
      <w:r w:rsidR="00BE07C9">
        <w:t>(</w:t>
      </w:r>
      <w:r w:rsidR="00F76E64">
        <w:t>4</w:t>
      </w:r>
      <w:r w:rsidR="008E36B0">
        <w:noBreakHyphen/>
      </w:r>
      <w:r w:rsidR="00F76E64">
        <w:t>9)</w:t>
      </w:r>
      <w:r w:rsidR="002C497F">
        <w:t>,</w:t>
      </w:r>
      <w:r w:rsidR="006A2FA9">
        <w:t xml:space="preserve"> </w:t>
      </w:r>
      <w:r w:rsidR="00BE07C9" w:rsidRPr="00244ED5">
        <w:t>335A</w:t>
      </w:r>
      <w:r w:rsidR="002C497F">
        <w:t>(</w:t>
      </w:r>
      <w:r w:rsidR="004262E5">
        <w:t>4-9)</w:t>
      </w:r>
      <w:r w:rsidR="00BE07C9" w:rsidRPr="00244ED5">
        <w:t xml:space="preserve"> </w:t>
      </w:r>
      <w:r w:rsidR="004262E5">
        <w:t xml:space="preserve">or </w:t>
      </w:r>
      <w:r w:rsidR="00BE07C9">
        <w:t>343</w:t>
      </w:r>
      <w:r w:rsidR="00180455">
        <w:t>(3-8)</w:t>
      </w:r>
      <w:r w:rsidR="00BE07C9">
        <w:t xml:space="preserve"> of the OPGGS Act</w:t>
      </w:r>
      <w:r w:rsidR="009209E3">
        <w:t>,</w:t>
      </w:r>
      <w:r w:rsidR="00180455">
        <w:t xml:space="preserve"> </w:t>
      </w:r>
      <w:r w:rsidR="0078549F">
        <w:t xml:space="preserve">an </w:t>
      </w:r>
      <w:r w:rsidR="00180455">
        <w:t xml:space="preserve">applicant may, at any time before an offer document (or a notice of refusal) is </w:t>
      </w:r>
      <w:r w:rsidR="0078549F">
        <w:t xml:space="preserve">given </w:t>
      </w:r>
      <w:r w:rsidR="00932665">
        <w:t xml:space="preserve">in </w:t>
      </w:r>
      <w:r w:rsidR="00180455">
        <w:t xml:space="preserve">relation to the GHG holding lease application, vary </w:t>
      </w:r>
      <w:r w:rsidR="00D9082F">
        <w:t>its application for a GHG holding lease.</w:t>
      </w:r>
      <w:r w:rsidR="0078549F">
        <w:t xml:space="preserve"> A variation may be made:</w:t>
      </w:r>
    </w:p>
    <w:p w14:paraId="719BB79B" w14:textId="199B175C" w:rsidR="0078549F" w:rsidRDefault="0078549F" w:rsidP="00AA3F93">
      <w:pPr>
        <w:pStyle w:val="bullet"/>
      </w:pPr>
      <w:r>
        <w:t>on the applicant’s own initiative; or</w:t>
      </w:r>
    </w:p>
    <w:p w14:paraId="5C63BB9C" w14:textId="67808913" w:rsidR="0078549F" w:rsidRDefault="0078549F" w:rsidP="00AA3F93">
      <w:pPr>
        <w:pStyle w:val="bullet"/>
      </w:pPr>
      <w:r>
        <w:t>at the request of the RCM or CBA (as applicable).</w:t>
      </w:r>
    </w:p>
    <w:p w14:paraId="126F2353" w14:textId="1192A3C0" w:rsidR="00856FE3" w:rsidRDefault="00BF7913" w:rsidP="00AA3F93">
      <w:r>
        <w:t>The variation must be made in the approved manner and may set out any additional matters that the applicant wishes to be considered.</w:t>
      </w:r>
      <w:r w:rsidR="009846F6">
        <w:rPr>
          <w:rStyle w:val="FootnoteReference"/>
        </w:rPr>
        <w:footnoteReference w:id="9"/>
      </w:r>
      <w:r w:rsidR="00A97F25">
        <w:t xml:space="preserve"> </w:t>
      </w:r>
      <w:r w:rsidR="00856FE3">
        <w:t xml:space="preserve">Please refer to </w:t>
      </w:r>
      <w:r w:rsidR="00D85D51">
        <w:t xml:space="preserve">information on </w:t>
      </w:r>
      <w:r w:rsidR="00856FE3">
        <w:t xml:space="preserve">approved </w:t>
      </w:r>
      <w:r w:rsidR="00D85D51">
        <w:t>manner</w:t>
      </w:r>
      <w:r w:rsidR="009846F6">
        <w:t>,</w:t>
      </w:r>
      <w:r w:rsidR="00856FE3">
        <w:t xml:space="preserve"> available on </w:t>
      </w:r>
      <w:hyperlink r:id="rId27">
        <w:r w:rsidR="00841D94" w:rsidRPr="4304D961">
          <w:rPr>
            <w:rStyle w:val="Hyperlink"/>
          </w:rPr>
          <w:t>NOPTA’s website</w:t>
        </w:r>
      </w:hyperlink>
      <w:r w:rsidR="00856FE3">
        <w:t>.</w:t>
      </w:r>
    </w:p>
    <w:p w14:paraId="7B549E03" w14:textId="0013A082" w:rsidR="00DA4581" w:rsidRDefault="00786D4D" w:rsidP="00AA3F93">
      <w:pPr>
        <w:pStyle w:val="Heading2"/>
      </w:pPr>
      <w:r w:rsidRPr="001016D8">
        <w:t>Renewal of a Holding Lease</w:t>
      </w:r>
    </w:p>
    <w:p w14:paraId="4507F560" w14:textId="413EE375" w:rsidR="00AE29EC" w:rsidRDefault="00232443" w:rsidP="00AA3F93">
      <w:r>
        <w:t xml:space="preserve">Pursuant to </w:t>
      </w:r>
      <w:r w:rsidR="00C8610C">
        <w:t>section 347</w:t>
      </w:r>
      <w:r w:rsidR="00E73198">
        <w:t xml:space="preserve"> or 350</w:t>
      </w:r>
      <w:r w:rsidR="00D509C9" w:rsidRPr="00A03FDE">
        <w:t>A</w:t>
      </w:r>
      <w:r w:rsidR="00E65A0B">
        <w:t xml:space="preserve"> of the OPGGS Act, a</w:t>
      </w:r>
      <w:r w:rsidR="00D509C9" w:rsidRPr="00A03FDE">
        <w:t xml:space="preserve"> </w:t>
      </w:r>
      <w:r w:rsidR="00ED2CF5">
        <w:t xml:space="preserve">GHG holding </w:t>
      </w:r>
      <w:r w:rsidR="00BD3D7C">
        <w:t xml:space="preserve">lease </w:t>
      </w:r>
      <w:r w:rsidR="00ED2CF5">
        <w:t xml:space="preserve">can be renewed once for a term of 5 years. </w:t>
      </w:r>
    </w:p>
    <w:p w14:paraId="17ECF758" w14:textId="2E813F3A" w:rsidR="00882AB8" w:rsidRPr="00D509C9" w:rsidRDefault="00882AB8" w:rsidP="00AA3F93">
      <w:r>
        <w:t xml:space="preserve">The renewal must be made in the approved </w:t>
      </w:r>
      <w:r w:rsidR="005624D4">
        <w:t xml:space="preserve">form and approved </w:t>
      </w:r>
      <w:r>
        <w:t>manner and may set out any additional matters that the applicant wishes to be considered</w:t>
      </w:r>
      <w:r w:rsidR="009426A6">
        <w:t>.</w:t>
      </w:r>
    </w:p>
    <w:p w14:paraId="034C20DD" w14:textId="61192F30" w:rsidR="00760394" w:rsidRPr="00AA3F93" w:rsidRDefault="00760394" w:rsidP="008E36B0">
      <w:pPr>
        <w:pStyle w:val="Heading2"/>
      </w:pPr>
      <w:r w:rsidRPr="008E36B0">
        <w:t>More information?</w:t>
      </w:r>
    </w:p>
    <w:p w14:paraId="301A8067" w14:textId="77777777" w:rsidR="008257F0" w:rsidRDefault="00760394" w:rsidP="008E36B0">
      <w:pPr>
        <w:rPr>
          <w:color w:val="595959" w:themeColor="text1" w:themeTint="A6"/>
          <w:lang w:eastAsia="en-AU"/>
        </w:rPr>
      </w:pPr>
      <w:r w:rsidRPr="002F628A">
        <w:t xml:space="preserve">If you have any </w:t>
      </w:r>
      <w:r w:rsidR="00EB65E1" w:rsidRPr="002F628A">
        <w:t xml:space="preserve">specific </w:t>
      </w:r>
      <w:r w:rsidRPr="002F628A">
        <w:t>questions</w:t>
      </w:r>
      <w:r w:rsidR="009F5F37" w:rsidRPr="002F628A">
        <w:t>,</w:t>
      </w:r>
      <w:r w:rsidRPr="002F628A">
        <w:t xml:space="preserve"> please contact</w:t>
      </w:r>
      <w:r w:rsidRPr="002F628A">
        <w:rPr>
          <w:lang w:eastAsia="en-AU"/>
        </w:rPr>
        <w:t xml:space="preserve"> </w:t>
      </w:r>
      <w:r w:rsidR="0093384D" w:rsidRPr="002F628A">
        <w:rPr>
          <w:lang w:eastAsia="en-AU"/>
        </w:rPr>
        <w:t>NOPTA via</w:t>
      </w:r>
      <w:r w:rsidR="0093384D">
        <w:rPr>
          <w:color w:val="595959" w:themeColor="text1" w:themeTint="A6"/>
          <w:lang w:eastAsia="en-AU"/>
        </w:rPr>
        <w:t xml:space="preserve"> </w:t>
      </w:r>
      <w:hyperlink r:id="rId28" w:history="1">
        <w:r w:rsidR="002E32D9" w:rsidRPr="00C55026">
          <w:rPr>
            <w:rStyle w:val="Hyperlink"/>
            <w:lang w:eastAsia="en-AU"/>
          </w:rPr>
          <w:t>ghg@nopta.gov.au</w:t>
        </w:r>
      </w:hyperlink>
      <w:r w:rsidRPr="5ADF88F5">
        <w:rPr>
          <w:color w:val="595959" w:themeColor="text1" w:themeTint="A6"/>
          <w:lang w:eastAsia="en-AU"/>
        </w:rPr>
        <w:t>.</w:t>
      </w:r>
    </w:p>
    <w:p w14:paraId="1A957FC6" w14:textId="796E6F34" w:rsidR="00760394" w:rsidRPr="002F628A" w:rsidRDefault="008257F0" w:rsidP="00AA3F93">
      <w:pPr>
        <w:rPr>
          <w:lang w:eastAsia="en-AU"/>
        </w:rPr>
      </w:pPr>
      <w:r w:rsidRPr="002F628A">
        <w:rPr>
          <w:b/>
          <w:lang w:eastAsia="en-AU"/>
        </w:rPr>
        <w:t>Please note</w:t>
      </w:r>
      <w:r w:rsidRPr="002F628A">
        <w:rPr>
          <w:b/>
        </w:rPr>
        <w:t xml:space="preserve">: </w:t>
      </w:r>
      <w:r w:rsidRPr="002F628A">
        <w:rPr>
          <w:lang w:eastAsia="en-AU"/>
        </w:rPr>
        <w:t xml:space="preserve">this document is intended as a guide only. It is subject to, and does not replace or amend the requirements of, the </w:t>
      </w:r>
      <w:r w:rsidRPr="00AA3F93">
        <w:rPr>
          <w:i/>
          <w:iCs/>
          <w:lang w:eastAsia="en-AU"/>
        </w:rPr>
        <w:t>Offshore Petroleum and Greenhouse Gas Storage Act 2006</w:t>
      </w:r>
      <w:r w:rsidRPr="002F628A">
        <w:rPr>
          <w:lang w:eastAsia="en-AU"/>
        </w:rPr>
        <w:t xml:space="preserve"> and associated regulations, which should be read in conjunction with this </w:t>
      </w:r>
      <w:r w:rsidR="00AB19C0" w:rsidRPr="002F628A">
        <w:rPr>
          <w:lang w:eastAsia="en-AU"/>
        </w:rPr>
        <w:t>fact sheet</w:t>
      </w:r>
      <w:r w:rsidRPr="002F628A">
        <w:rPr>
          <w:lang w:eastAsia="en-AU"/>
        </w:rPr>
        <w:t>. It should not be relied on as legal advice or regarded as a substitute for legal advice in individual cases</w:t>
      </w:r>
      <w:r w:rsidR="00D00BC7" w:rsidRPr="002F628A">
        <w:rPr>
          <w:lang w:eastAsia="en-AU"/>
        </w:rPr>
        <w:t>.</w:t>
      </w:r>
    </w:p>
    <w:p w14:paraId="47144689" w14:textId="5A55816A" w:rsidR="00760394" w:rsidRPr="00462302" w:rsidRDefault="00760394" w:rsidP="008E36B0">
      <w:pPr>
        <w:pStyle w:val="Heading2"/>
      </w:pPr>
      <w:r w:rsidRPr="00462302">
        <w:t>Version history</w:t>
      </w:r>
    </w:p>
    <w:tbl>
      <w:tblPr>
        <w:tblStyle w:val="TableGrid"/>
        <w:tblW w:w="481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Version History"/>
        <w:tblDescription w:val="Version, date and comments"/>
      </w:tblPr>
      <w:tblGrid>
        <w:gridCol w:w="846"/>
        <w:gridCol w:w="1134"/>
        <w:gridCol w:w="2835"/>
      </w:tblGrid>
      <w:tr w:rsidR="00760394" w:rsidRPr="00AA3F93" w14:paraId="0D85477A" w14:textId="77777777" w:rsidTr="00462302">
        <w:trPr>
          <w:trHeight w:val="170"/>
        </w:trPr>
        <w:tc>
          <w:tcPr>
            <w:tcW w:w="846" w:type="dxa"/>
          </w:tcPr>
          <w:p w14:paraId="6FE2DAB2" w14:textId="77777777" w:rsidR="00760394" w:rsidRPr="00AA3F93" w:rsidRDefault="00760394" w:rsidP="00AA3F93">
            <w:pPr>
              <w:keepNext/>
              <w:keepLines/>
              <w:spacing w:before="60" w:after="60"/>
              <w:rPr>
                <w:sz w:val="18"/>
                <w:szCs w:val="20"/>
              </w:rPr>
            </w:pPr>
            <w:r w:rsidRPr="00AA3F93">
              <w:rPr>
                <w:sz w:val="18"/>
                <w:szCs w:val="20"/>
              </w:rPr>
              <w:t>Version</w:t>
            </w:r>
          </w:p>
        </w:tc>
        <w:tc>
          <w:tcPr>
            <w:tcW w:w="1134" w:type="dxa"/>
          </w:tcPr>
          <w:p w14:paraId="6CECD233" w14:textId="77777777" w:rsidR="00760394" w:rsidRPr="00AA3F93" w:rsidRDefault="00760394" w:rsidP="00AA3F93">
            <w:pPr>
              <w:keepNext/>
              <w:keepLines/>
              <w:spacing w:before="60" w:after="60"/>
              <w:rPr>
                <w:sz w:val="18"/>
                <w:szCs w:val="20"/>
              </w:rPr>
            </w:pPr>
            <w:r w:rsidRPr="00AA3F93">
              <w:rPr>
                <w:sz w:val="18"/>
                <w:szCs w:val="20"/>
              </w:rPr>
              <w:t>Date</w:t>
            </w:r>
          </w:p>
        </w:tc>
        <w:tc>
          <w:tcPr>
            <w:tcW w:w="2835" w:type="dxa"/>
          </w:tcPr>
          <w:p w14:paraId="5448F253" w14:textId="77777777" w:rsidR="00760394" w:rsidRPr="00AA3F93" w:rsidRDefault="00760394" w:rsidP="00AA3F93">
            <w:pPr>
              <w:keepNext/>
              <w:keepLines/>
              <w:spacing w:before="60" w:after="60"/>
              <w:rPr>
                <w:sz w:val="18"/>
                <w:szCs w:val="20"/>
              </w:rPr>
            </w:pPr>
            <w:r w:rsidRPr="00AA3F93">
              <w:rPr>
                <w:sz w:val="18"/>
                <w:szCs w:val="20"/>
              </w:rPr>
              <w:t>Comment</w:t>
            </w:r>
          </w:p>
        </w:tc>
      </w:tr>
      <w:tr w:rsidR="00AA3F93" w:rsidRPr="00AA3F93" w14:paraId="10395907" w14:textId="77777777" w:rsidTr="00462302">
        <w:trPr>
          <w:trHeight w:val="170"/>
        </w:trPr>
        <w:tc>
          <w:tcPr>
            <w:tcW w:w="846" w:type="dxa"/>
          </w:tcPr>
          <w:p w14:paraId="2FEB4C04" w14:textId="59AAA835" w:rsidR="00AA3F93" w:rsidRPr="00AA3F93" w:rsidRDefault="00AA3F93" w:rsidP="00AA3F93">
            <w:pPr>
              <w:keepNext/>
              <w:keepLines/>
              <w:spacing w:before="60" w:after="60"/>
              <w:rPr>
                <w:sz w:val="18"/>
                <w:szCs w:val="20"/>
              </w:rPr>
            </w:pPr>
            <w:r w:rsidRPr="00AA3F93">
              <w:rPr>
                <w:sz w:val="18"/>
                <w:szCs w:val="20"/>
              </w:rPr>
              <w:t>2.0</w:t>
            </w:r>
          </w:p>
        </w:tc>
        <w:tc>
          <w:tcPr>
            <w:tcW w:w="1134" w:type="dxa"/>
          </w:tcPr>
          <w:p w14:paraId="70CFFCB5" w14:textId="198FFEB9" w:rsidR="00AA3F93" w:rsidRPr="00AA3F93" w:rsidRDefault="00A30315" w:rsidP="00AA3F93">
            <w:pPr>
              <w:keepNext/>
              <w:keepLines/>
              <w:spacing w:before="60" w:after="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</w:t>
            </w:r>
            <w:r w:rsidR="00AA3F93" w:rsidRPr="00AA3F93">
              <w:rPr>
                <w:sz w:val="18"/>
                <w:szCs w:val="20"/>
              </w:rPr>
              <w:t>/03/2026</w:t>
            </w:r>
          </w:p>
        </w:tc>
        <w:tc>
          <w:tcPr>
            <w:tcW w:w="2835" w:type="dxa"/>
          </w:tcPr>
          <w:p w14:paraId="761EA1FD" w14:textId="7CBDEACF" w:rsidR="00AA3F93" w:rsidRPr="00AA3F93" w:rsidRDefault="00AA3F93" w:rsidP="00AA3F93">
            <w:pPr>
              <w:keepNext/>
              <w:keepLines/>
              <w:spacing w:before="60" w:after="60"/>
              <w:rPr>
                <w:sz w:val="18"/>
                <w:szCs w:val="20"/>
              </w:rPr>
            </w:pPr>
            <w:r w:rsidRPr="00AA3F93">
              <w:rPr>
                <w:sz w:val="18"/>
                <w:szCs w:val="20"/>
              </w:rPr>
              <w:t>Updated layout, format and links</w:t>
            </w:r>
          </w:p>
        </w:tc>
      </w:tr>
      <w:tr w:rsidR="00760394" w:rsidRPr="00AA3F93" w14:paraId="4C19AF01" w14:textId="77777777" w:rsidTr="00462302">
        <w:trPr>
          <w:trHeight w:val="170"/>
        </w:trPr>
        <w:tc>
          <w:tcPr>
            <w:tcW w:w="846" w:type="dxa"/>
          </w:tcPr>
          <w:p w14:paraId="4D13C752" w14:textId="2D308A4F" w:rsidR="00760394" w:rsidRPr="00AA3F93" w:rsidRDefault="002C4FE4" w:rsidP="00AA3F93">
            <w:pPr>
              <w:keepNext/>
              <w:keepLines/>
              <w:spacing w:before="60" w:after="60"/>
              <w:rPr>
                <w:sz w:val="18"/>
                <w:szCs w:val="20"/>
              </w:rPr>
            </w:pPr>
            <w:r w:rsidRPr="00AA3F93">
              <w:rPr>
                <w:sz w:val="18"/>
                <w:szCs w:val="20"/>
              </w:rPr>
              <w:t>1.0</w:t>
            </w:r>
          </w:p>
        </w:tc>
        <w:tc>
          <w:tcPr>
            <w:tcW w:w="1134" w:type="dxa"/>
          </w:tcPr>
          <w:p w14:paraId="0AD270E1" w14:textId="7A4FB184" w:rsidR="00760394" w:rsidRPr="00AA3F93" w:rsidRDefault="00687607" w:rsidP="00AA3F93">
            <w:pPr>
              <w:keepNext/>
              <w:keepLines/>
              <w:spacing w:before="60" w:after="60"/>
              <w:rPr>
                <w:sz w:val="18"/>
                <w:szCs w:val="20"/>
              </w:rPr>
            </w:pPr>
            <w:r w:rsidRPr="00AA3F93">
              <w:rPr>
                <w:sz w:val="18"/>
                <w:szCs w:val="20"/>
              </w:rPr>
              <w:t>07</w:t>
            </w:r>
            <w:r w:rsidR="002C4FE4" w:rsidRPr="00AA3F93">
              <w:rPr>
                <w:sz w:val="18"/>
                <w:szCs w:val="20"/>
              </w:rPr>
              <w:t>/</w:t>
            </w:r>
            <w:r w:rsidRPr="00AA3F93">
              <w:rPr>
                <w:sz w:val="18"/>
                <w:szCs w:val="20"/>
              </w:rPr>
              <w:t>10</w:t>
            </w:r>
            <w:r w:rsidR="002C4FE4" w:rsidRPr="00AA3F93">
              <w:rPr>
                <w:sz w:val="18"/>
                <w:szCs w:val="20"/>
              </w:rPr>
              <w:t>/2025</w:t>
            </w:r>
          </w:p>
        </w:tc>
        <w:tc>
          <w:tcPr>
            <w:tcW w:w="2835" w:type="dxa"/>
          </w:tcPr>
          <w:p w14:paraId="46412448" w14:textId="4FC46CE0" w:rsidR="00760394" w:rsidRPr="00AA3F93" w:rsidRDefault="002C4FE4" w:rsidP="00AA3F93">
            <w:pPr>
              <w:keepNext/>
              <w:keepLines/>
              <w:spacing w:before="60" w:after="60"/>
              <w:rPr>
                <w:sz w:val="18"/>
                <w:szCs w:val="20"/>
              </w:rPr>
            </w:pPr>
            <w:r w:rsidRPr="00AA3F93">
              <w:rPr>
                <w:sz w:val="18"/>
                <w:szCs w:val="20"/>
              </w:rPr>
              <w:t>New GHG fact sheet</w:t>
            </w:r>
          </w:p>
        </w:tc>
      </w:tr>
    </w:tbl>
    <w:p w14:paraId="2403E976" w14:textId="7D9138FE" w:rsidR="00884EAC" w:rsidRDefault="00884EAC" w:rsidP="00462302"/>
    <w:p w14:paraId="47445512" w14:textId="77777777" w:rsidR="00884EAC" w:rsidRDefault="00884EAC">
      <w:pPr>
        <w:spacing w:before="0" w:after="160" w:line="259" w:lineRule="auto"/>
      </w:pPr>
      <w:r>
        <w:br w:type="page"/>
      </w:r>
    </w:p>
    <w:p w14:paraId="0AC02577" w14:textId="77777777" w:rsidR="00FD2B69" w:rsidRDefault="00FD2B69" w:rsidP="00FD2B69">
      <w:pPr>
        <w:pStyle w:val="Heading1"/>
        <w:spacing w:before="100" w:after="100"/>
        <w:sectPr w:rsidR="00FD2B69" w:rsidSect="00AA3F93">
          <w:headerReference w:type="even" r:id="rId29"/>
          <w:headerReference w:type="default" r:id="rId30"/>
          <w:footerReference w:type="even" r:id="rId31"/>
          <w:headerReference w:type="first" r:id="rId32"/>
          <w:footerReference w:type="first" r:id="rId33"/>
          <w:type w:val="continuous"/>
          <w:pgSz w:w="11906" w:h="16838"/>
          <w:pgMar w:top="2552" w:right="851" w:bottom="851" w:left="851" w:header="709" w:footer="454" w:gutter="0"/>
          <w:cols w:num="2" w:space="454"/>
          <w:docGrid w:linePitch="360"/>
        </w:sectPr>
      </w:pPr>
    </w:p>
    <w:p w14:paraId="570C0A72" w14:textId="77777777" w:rsidR="00E11C35" w:rsidRDefault="00E11C35">
      <w:pPr>
        <w:spacing w:before="0" w:after="160" w:line="259" w:lineRule="auto"/>
        <w:rPr>
          <w:rFonts w:eastAsiaTheme="majorEastAsia" w:cstheme="majorBidi"/>
          <w:color w:val="385623" w:themeColor="accent6" w:themeShade="80"/>
          <w:spacing w:val="-10"/>
          <w:kern w:val="28"/>
          <w:sz w:val="52"/>
          <w:szCs w:val="56"/>
        </w:rPr>
      </w:pPr>
      <w:bookmarkStart w:id="2" w:name="Attachment1Multiplestorageformations"/>
      <w:r>
        <w:br w:type="page"/>
      </w:r>
    </w:p>
    <w:p w14:paraId="76F3028E" w14:textId="33DA4168" w:rsidR="00FD2B69" w:rsidRPr="00462302" w:rsidRDefault="00FD2B69" w:rsidP="000341CA">
      <w:pPr>
        <w:pStyle w:val="Heading1"/>
        <w:spacing w:before="100" w:after="100"/>
      </w:pPr>
      <w:r>
        <w:lastRenderedPageBreak/>
        <w:t>Attachment 1 – Multiple storage formations</w:t>
      </w:r>
    </w:p>
    <w:bookmarkEnd w:id="2"/>
    <w:p w14:paraId="0E696D42" w14:textId="186E28E3" w:rsidR="00B925AD" w:rsidRDefault="00FD2B69" w:rsidP="00FD2B69">
      <w:r>
        <w:t xml:space="preserve">The following diagrams provide a schematic </w:t>
      </w:r>
      <w:r w:rsidR="00803DB1">
        <w:t xml:space="preserve">interpretation of the scenarios </w:t>
      </w:r>
      <w:r w:rsidR="00233E58">
        <w:t>i</w:t>
      </w:r>
      <w:r w:rsidR="00803DB1">
        <w:t>n section 324 of the OPGGS Act</w:t>
      </w:r>
      <w:r w:rsidR="003C1A0A">
        <w:t>.</w:t>
      </w:r>
      <w:r w:rsidR="003F3B05">
        <w:t xml:space="preserve"> The top </w:t>
      </w:r>
      <w:r w:rsidR="00BE1CFD">
        <w:t xml:space="preserve">diagram in each pair is a </w:t>
      </w:r>
      <w:proofErr w:type="gramStart"/>
      <w:r w:rsidR="00BE1CFD">
        <w:t>cross sectional</w:t>
      </w:r>
      <w:proofErr w:type="gramEnd"/>
      <w:r w:rsidR="00BE1CFD">
        <w:t xml:space="preserve"> view, and the </w:t>
      </w:r>
      <w:r w:rsidR="00396553">
        <w:t>lower diagram is a plan view.</w:t>
      </w:r>
    </w:p>
    <w:p w14:paraId="2453C8A8" w14:textId="5B70CD89" w:rsidR="00B25C64" w:rsidRDefault="00B17206" w:rsidP="000341CA">
      <w:pPr>
        <w:jc w:val="center"/>
      </w:pPr>
      <w:r>
        <w:rPr>
          <w:noProof/>
        </w:rPr>
        <w:drawing>
          <wp:inline distT="0" distB="0" distL="0" distR="0" wp14:anchorId="59A35826" wp14:editId="0FB1048B">
            <wp:extent cx="6047105" cy="2982278"/>
            <wp:effectExtent l="0" t="0" r="0" b="8890"/>
            <wp:docPr id="1875545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292" cy="2985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EA893" w14:textId="7E0F291B" w:rsidR="00B25C64" w:rsidRDefault="00B25C64" w:rsidP="000341CA">
      <w:pPr>
        <w:jc w:val="center"/>
      </w:pPr>
    </w:p>
    <w:p w14:paraId="30DB931E" w14:textId="6308838C" w:rsidR="00B25C64" w:rsidRDefault="006370B8" w:rsidP="000341CA">
      <w:pPr>
        <w:jc w:val="center"/>
      </w:pPr>
      <w:r>
        <w:rPr>
          <w:noProof/>
        </w:rPr>
        <w:drawing>
          <wp:inline distT="0" distB="0" distL="0" distR="0" wp14:anchorId="5D80B32B" wp14:editId="4F9D4EAD">
            <wp:extent cx="2667000" cy="3251651"/>
            <wp:effectExtent l="0" t="0" r="0" b="6350"/>
            <wp:docPr id="18228004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337" cy="3258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60282" w14:textId="2F97EAF0" w:rsidR="00FD2B69" w:rsidRPr="00462302" w:rsidRDefault="00831D4C" w:rsidP="000341C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9FCE40" wp14:editId="4A5A667D">
                <wp:simplePos x="0" y="0"/>
                <wp:positionH relativeFrom="column">
                  <wp:posOffset>9307151</wp:posOffset>
                </wp:positionH>
                <wp:positionV relativeFrom="paragraph">
                  <wp:posOffset>3984633</wp:posOffset>
                </wp:positionV>
                <wp:extent cx="0" cy="1471001"/>
                <wp:effectExtent l="0" t="0" r="38100" b="34290"/>
                <wp:wrapNone/>
                <wp:docPr id="112312913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100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1A68D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2.85pt,313.75pt" to="732.85pt,4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" strokecolor="#7f7f7f" strokeweight="1.5pt">
                <v:stroke joinstyle="miter"/>
              </v:line>
            </w:pict>
          </mc:Fallback>
        </mc:AlternateContent>
      </w:r>
    </w:p>
    <w:sectPr w:rsidR="00FD2B69" w:rsidRPr="00462302" w:rsidSect="00AA3F93">
      <w:type w:val="continuous"/>
      <w:pgSz w:w="11906" w:h="16838"/>
      <w:pgMar w:top="2552" w:right="851" w:bottom="851" w:left="851" w:header="709" w:footer="70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58CE" w14:textId="77777777" w:rsidR="003628F2" w:rsidRDefault="003628F2" w:rsidP="00462302">
      <w:r>
        <w:separator/>
      </w:r>
    </w:p>
  </w:endnote>
  <w:endnote w:type="continuationSeparator" w:id="0">
    <w:p w14:paraId="3484AF80" w14:textId="77777777" w:rsidR="003628F2" w:rsidRDefault="003628F2" w:rsidP="00462302">
      <w:r>
        <w:continuationSeparator/>
      </w:r>
    </w:p>
  </w:endnote>
  <w:endnote w:type="continuationNotice" w:id="1">
    <w:p w14:paraId="75BDF345" w14:textId="77777777" w:rsidR="003628F2" w:rsidRDefault="003628F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336F" w14:textId="293E821F" w:rsidR="00760394" w:rsidRDefault="00096EC6" w:rsidP="004623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E12B730" wp14:editId="1A2D35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82215" cy="543560"/>
              <wp:effectExtent l="0" t="0" r="13335" b="0"/>
              <wp:wrapNone/>
              <wp:docPr id="613767123" name="Text Box 8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2881E" w14:textId="017C9BE0" w:rsidR="00096EC6" w:rsidRPr="00096EC6" w:rsidRDefault="00096EC6" w:rsidP="00096E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6EC6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2B73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: Sensitive//Legal-Privilege" style="position:absolute;margin-left:0;margin-top:0;width:195.45pt;height:42.8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" filled="f" stroked="f">
              <v:textbox style="mso-fit-shape-to-text:t" inset="0,0,0,15pt">
                <w:txbxContent>
                  <w:p w14:paraId="2592881E" w14:textId="017C9BE0" w:rsidR="00096EC6" w:rsidRPr="00096EC6" w:rsidRDefault="00096EC6" w:rsidP="00096E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096EC6"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7440" w14:textId="0ACA7CE0" w:rsidR="00760394" w:rsidRDefault="00760394" w:rsidP="00AA3F93">
    <w:pPr>
      <w:pStyle w:val="Footer"/>
      <w:tabs>
        <w:tab w:val="clear" w:pos="9026"/>
        <w:tab w:val="right" w:pos="10204"/>
      </w:tabs>
      <w:spacing w:before="0" w:after="0"/>
    </w:pPr>
    <w:r w:rsidRPr="00FF29A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759D2C" wp14:editId="501D5298">
              <wp:simplePos x="0" y="0"/>
              <wp:positionH relativeFrom="margin">
                <wp:posOffset>-1905</wp:posOffset>
              </wp:positionH>
              <wp:positionV relativeFrom="paragraph">
                <wp:posOffset>-68580</wp:posOffset>
              </wp:positionV>
              <wp:extent cx="6324600" cy="0"/>
              <wp:effectExtent l="0" t="0" r="0" b="0"/>
              <wp:wrapNone/>
              <wp:docPr id="1" name="Lin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ED3809" id="Line 4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5pt,-5.4pt" to="497.8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" strokecolor="#375623 [1609]" strokeweight="1.5pt">
              <v:stroke joinstyle="miter"/>
              <w10:wrap anchorx="margin"/>
            </v:line>
          </w:pict>
        </mc:Fallback>
      </mc:AlternateContent>
    </w:r>
    <w:hyperlink r:id="rId1" w:history="1">
      <w:r w:rsidRPr="00B729DE">
        <w:rPr>
          <w:rStyle w:val="Hyperlink"/>
        </w:rPr>
        <w:t>www.nopta.gov.au</w:t>
      </w:r>
    </w:hyperlink>
    <w:r>
      <w:t xml:space="preserve"> </w:t>
    </w:r>
    <w:r>
      <w:tab/>
    </w:r>
    <w:r>
      <w:tab/>
    </w:r>
    <w:r w:rsidRPr="00873B82">
      <w:t xml:space="preserve">Version </w:t>
    </w:r>
    <w:r w:rsidR="008E36B0">
      <w:t>2</w:t>
    </w:r>
    <w:r w:rsidRPr="00873B82">
      <w:t xml:space="preserve">: </w:t>
    </w:r>
    <w:r w:rsidR="008E36B0">
      <w:t>March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C2F6" w14:textId="744BF1C5" w:rsidR="00760394" w:rsidRDefault="00096EC6" w:rsidP="004623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08712E2" wp14:editId="12ED0E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82215" cy="543560"/>
              <wp:effectExtent l="0" t="0" r="13335" b="0"/>
              <wp:wrapNone/>
              <wp:docPr id="839784685" name="Text Box 7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6A932" w14:textId="1E3598BD" w:rsidR="00096EC6" w:rsidRPr="00096EC6" w:rsidRDefault="00096EC6" w:rsidP="00096E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6EC6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712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: Sensitive//Legal-Privilege" style="position:absolute;margin-left:0;margin-top:0;width:195.45pt;height:42.8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" filled="f" stroked="f">
              <v:textbox style="mso-fit-shape-to-text:t" inset="0,0,0,15pt">
                <w:txbxContent>
                  <w:p w14:paraId="1826A932" w14:textId="1E3598BD" w:rsidR="00096EC6" w:rsidRPr="00096EC6" w:rsidRDefault="00096EC6" w:rsidP="00096E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096EC6"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5E4E" w14:textId="23ED006A" w:rsidR="00A0558D" w:rsidRDefault="00096E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5635A75E" wp14:editId="27F41F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82215" cy="543560"/>
              <wp:effectExtent l="0" t="0" r="13335" b="0"/>
              <wp:wrapNone/>
              <wp:docPr id="106350680" name="Text Box 11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6525E" w14:textId="4E42B890" w:rsidR="00096EC6" w:rsidRPr="00096EC6" w:rsidRDefault="00096EC6" w:rsidP="00096E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6EC6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5A7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: Sensitive//Legal-Privilege" style="position:absolute;margin-left:0;margin-top:0;width:195.45pt;height:42.8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" filled="f" stroked="f">
              <v:textbox style="mso-fit-shape-to-text:t" inset="0,0,0,15pt">
                <w:txbxContent>
                  <w:p w14:paraId="5876525E" w14:textId="4E42B890" w:rsidR="00096EC6" w:rsidRPr="00096EC6" w:rsidRDefault="00096EC6" w:rsidP="00096E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096EC6"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8270" w14:textId="58DA4102" w:rsidR="00A0558D" w:rsidRDefault="00096E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7FCD8D8" wp14:editId="0D79C1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82215" cy="543560"/>
              <wp:effectExtent l="0" t="0" r="13335" b="0"/>
              <wp:wrapNone/>
              <wp:docPr id="937543663" name="Text Box 10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89FAC" w14:textId="5C124F04" w:rsidR="00096EC6" w:rsidRPr="00096EC6" w:rsidRDefault="00096EC6" w:rsidP="00096E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6EC6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CD8D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: Sensitive//Legal-Privilege" style="position:absolute;margin-left:0;margin-top:0;width:195.45pt;height:42.8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" filled="f" stroked="f">
              <v:textbox style="mso-fit-shape-to-text:t" inset="0,0,0,15pt">
                <w:txbxContent>
                  <w:p w14:paraId="0BF89FAC" w14:textId="5C124F04" w:rsidR="00096EC6" w:rsidRPr="00096EC6" w:rsidRDefault="00096EC6" w:rsidP="00096E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096EC6"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B6C4" w14:textId="77777777" w:rsidR="003628F2" w:rsidRDefault="003628F2" w:rsidP="00462302">
      <w:r>
        <w:separator/>
      </w:r>
    </w:p>
  </w:footnote>
  <w:footnote w:type="continuationSeparator" w:id="0">
    <w:p w14:paraId="7DA62432" w14:textId="77777777" w:rsidR="003628F2" w:rsidRDefault="003628F2" w:rsidP="00462302">
      <w:r>
        <w:continuationSeparator/>
      </w:r>
    </w:p>
  </w:footnote>
  <w:footnote w:type="continuationNotice" w:id="1">
    <w:p w14:paraId="2907894F" w14:textId="77777777" w:rsidR="003628F2" w:rsidRDefault="003628F2">
      <w:pPr>
        <w:spacing w:before="0" w:after="0"/>
      </w:pPr>
    </w:p>
  </w:footnote>
  <w:footnote w:id="2">
    <w:p w14:paraId="23F965FD" w14:textId="77777777" w:rsidR="00EC3330" w:rsidRPr="005604CB" w:rsidRDefault="00EC3330" w:rsidP="00EC3330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B56967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56967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Subsection</w:t>
      </w:r>
      <w:r w:rsidRPr="005604CB">
        <w:rPr>
          <w:rFonts w:asciiTheme="minorHAnsi" w:hAnsiTheme="minorHAnsi" w:cstheme="minorHAnsi"/>
          <w:sz w:val="16"/>
          <w:szCs w:val="16"/>
        </w:rPr>
        <w:t xml:space="preserve"> 313(8) OPGGS Act provides that if a declaration in force has been varied, a reference to the declaration is a reference to the declaration as varied. This may impact how the application date is calculated for multiple DoSFs.</w:t>
      </w:r>
    </w:p>
  </w:footnote>
  <w:footnote w:id="3">
    <w:p w14:paraId="1FB29AB3" w14:textId="5E702889" w:rsidR="00A925DE" w:rsidRPr="002F628A" w:rsidRDefault="00A925DE">
      <w:pPr>
        <w:pStyle w:val="FootnoteText"/>
      </w:pPr>
      <w:r w:rsidRPr="002F628A">
        <w:rPr>
          <w:rStyle w:val="FootnoteReference"/>
        </w:rPr>
        <w:footnoteRef/>
      </w:r>
      <w:r w:rsidRPr="002F628A">
        <w:t xml:space="preserve"> </w:t>
      </w:r>
      <w:r w:rsidR="008C7A08" w:rsidRPr="002F628A">
        <w:rPr>
          <w:rFonts w:asciiTheme="minorHAnsi" w:hAnsiTheme="minorHAnsi" w:cstheme="minorHAnsi"/>
          <w:sz w:val="16"/>
          <w:szCs w:val="16"/>
        </w:rPr>
        <w:t>For tied titles, see section 13 of the OPGGS Act and ‘Additional considerations for petroleum titleholders</w:t>
      </w:r>
      <w:r w:rsidR="00303D09" w:rsidRPr="002F628A">
        <w:rPr>
          <w:rFonts w:asciiTheme="minorHAnsi" w:hAnsiTheme="minorHAnsi" w:cstheme="minorHAnsi"/>
          <w:sz w:val="16"/>
          <w:szCs w:val="16"/>
        </w:rPr>
        <w:t>’ in</w:t>
      </w:r>
      <w:r w:rsidR="008C7A08" w:rsidRPr="002F628A">
        <w:rPr>
          <w:rFonts w:asciiTheme="minorHAnsi" w:hAnsiTheme="minorHAnsi" w:cstheme="minorHAnsi"/>
          <w:sz w:val="16"/>
          <w:szCs w:val="16"/>
        </w:rPr>
        <w:t xml:space="preserve"> the Greenhouse </w:t>
      </w:r>
      <w:r w:rsidR="00AA3F93" w:rsidRPr="002F628A">
        <w:rPr>
          <w:rFonts w:asciiTheme="minorHAnsi" w:hAnsiTheme="minorHAnsi" w:cstheme="minorHAnsi"/>
          <w:sz w:val="16"/>
          <w:szCs w:val="16"/>
        </w:rPr>
        <w:t>gas injection licence guideline</w:t>
      </w:r>
      <w:r w:rsidR="008C7A08" w:rsidRPr="002F628A">
        <w:rPr>
          <w:rFonts w:asciiTheme="minorHAnsi" w:hAnsiTheme="minorHAnsi" w:cstheme="minorHAnsi"/>
          <w:sz w:val="16"/>
          <w:szCs w:val="16"/>
        </w:rPr>
        <w:t xml:space="preserve"> (section 3.13 at p10)</w:t>
      </w:r>
    </w:p>
  </w:footnote>
  <w:footnote w:id="4">
    <w:p w14:paraId="341E69A4" w14:textId="6F8967D1" w:rsidR="00C56563" w:rsidRPr="002F628A" w:rsidRDefault="00C56563">
      <w:pPr>
        <w:pStyle w:val="FootnoteText"/>
        <w:rPr>
          <w:sz w:val="16"/>
          <w:szCs w:val="16"/>
        </w:rPr>
      </w:pPr>
      <w:r w:rsidRPr="002F628A">
        <w:rPr>
          <w:rStyle w:val="FootnoteReference"/>
          <w:sz w:val="16"/>
          <w:szCs w:val="16"/>
        </w:rPr>
        <w:footnoteRef/>
      </w:r>
      <w:r w:rsidRPr="002F628A">
        <w:rPr>
          <w:sz w:val="16"/>
          <w:szCs w:val="16"/>
        </w:rPr>
        <w:t xml:space="preserve"> </w:t>
      </w:r>
      <w:r w:rsidR="00146C20" w:rsidRPr="002F628A">
        <w:rPr>
          <w:sz w:val="16"/>
          <w:szCs w:val="16"/>
        </w:rPr>
        <w:t xml:space="preserve">GHG holding lease (other than a cross boundary </w:t>
      </w:r>
      <w:r w:rsidR="009D3EA2" w:rsidRPr="002F628A">
        <w:rPr>
          <w:sz w:val="16"/>
          <w:szCs w:val="16"/>
        </w:rPr>
        <w:t>GHG holding lease)</w:t>
      </w:r>
      <w:r w:rsidR="00B267E4" w:rsidRPr="002F628A">
        <w:rPr>
          <w:sz w:val="16"/>
          <w:szCs w:val="16"/>
        </w:rPr>
        <w:t xml:space="preserve"> - </w:t>
      </w:r>
      <w:r w:rsidRPr="002F628A">
        <w:rPr>
          <w:sz w:val="16"/>
          <w:szCs w:val="16"/>
        </w:rPr>
        <w:t>paragraphs 324(3)(a) &amp; (b)</w:t>
      </w:r>
      <w:r w:rsidR="00125737" w:rsidRPr="002F628A">
        <w:rPr>
          <w:sz w:val="16"/>
          <w:szCs w:val="16"/>
        </w:rPr>
        <w:t xml:space="preserve">; </w:t>
      </w:r>
      <w:r w:rsidR="00B03AE6" w:rsidRPr="002F628A">
        <w:rPr>
          <w:sz w:val="16"/>
          <w:szCs w:val="16"/>
        </w:rPr>
        <w:t xml:space="preserve">Cross </w:t>
      </w:r>
      <w:r w:rsidR="003B1931" w:rsidRPr="002F628A">
        <w:rPr>
          <w:sz w:val="16"/>
          <w:szCs w:val="16"/>
        </w:rPr>
        <w:t>b</w:t>
      </w:r>
      <w:r w:rsidR="00B03AE6" w:rsidRPr="002F628A">
        <w:rPr>
          <w:sz w:val="16"/>
          <w:szCs w:val="16"/>
        </w:rPr>
        <w:t>oundary</w:t>
      </w:r>
      <w:r w:rsidR="00D14B2A" w:rsidRPr="002F628A">
        <w:rPr>
          <w:sz w:val="16"/>
          <w:szCs w:val="16"/>
        </w:rPr>
        <w:t xml:space="preserve"> GHG holding lease</w:t>
      </w:r>
      <w:r w:rsidR="00B267E4" w:rsidRPr="002F628A">
        <w:rPr>
          <w:sz w:val="16"/>
          <w:szCs w:val="16"/>
        </w:rPr>
        <w:t xml:space="preserve"> - </w:t>
      </w:r>
      <w:r w:rsidR="00D14B2A" w:rsidRPr="002F628A">
        <w:rPr>
          <w:sz w:val="16"/>
          <w:szCs w:val="16"/>
        </w:rPr>
        <w:t xml:space="preserve">subsection </w:t>
      </w:r>
      <w:r w:rsidR="003B1931" w:rsidRPr="002F628A">
        <w:rPr>
          <w:sz w:val="16"/>
          <w:szCs w:val="16"/>
        </w:rPr>
        <w:t>329</w:t>
      </w:r>
      <w:proofErr w:type="gramStart"/>
      <w:r w:rsidR="003B1931" w:rsidRPr="002F628A">
        <w:rPr>
          <w:sz w:val="16"/>
          <w:szCs w:val="16"/>
        </w:rPr>
        <w:t>A(</w:t>
      </w:r>
      <w:proofErr w:type="gramEnd"/>
      <w:r w:rsidR="003B1931" w:rsidRPr="002F628A">
        <w:rPr>
          <w:sz w:val="16"/>
          <w:szCs w:val="16"/>
        </w:rPr>
        <w:t xml:space="preserve">3); </w:t>
      </w:r>
      <w:r w:rsidR="00125737" w:rsidRPr="002F628A">
        <w:rPr>
          <w:sz w:val="16"/>
          <w:szCs w:val="16"/>
        </w:rPr>
        <w:t>P</w:t>
      </w:r>
      <w:r w:rsidR="00CE3568" w:rsidRPr="002F628A">
        <w:rPr>
          <w:sz w:val="16"/>
          <w:szCs w:val="16"/>
        </w:rPr>
        <w:t xml:space="preserve">etroleum </w:t>
      </w:r>
      <w:r w:rsidR="00AA3F93" w:rsidRPr="002F628A">
        <w:rPr>
          <w:sz w:val="16"/>
          <w:szCs w:val="16"/>
        </w:rPr>
        <w:t xml:space="preserve">retention licence </w:t>
      </w:r>
      <w:r w:rsidR="00B267E4" w:rsidRPr="002F628A">
        <w:rPr>
          <w:sz w:val="16"/>
          <w:szCs w:val="16"/>
        </w:rPr>
        <w:t xml:space="preserve">- </w:t>
      </w:r>
      <w:r w:rsidR="00CE3568" w:rsidRPr="002F628A">
        <w:rPr>
          <w:sz w:val="16"/>
          <w:szCs w:val="16"/>
        </w:rPr>
        <w:t>subsection</w:t>
      </w:r>
      <w:r w:rsidR="00B03AE6" w:rsidRPr="002F628A">
        <w:rPr>
          <w:sz w:val="16"/>
          <w:szCs w:val="16"/>
        </w:rPr>
        <w:t xml:space="preserve"> 343(1B</w:t>
      </w:r>
      <w:proofErr w:type="gramStart"/>
      <w:r w:rsidR="00B03AE6" w:rsidRPr="002F628A">
        <w:rPr>
          <w:sz w:val="16"/>
          <w:szCs w:val="16"/>
        </w:rPr>
        <w:t>);</w:t>
      </w:r>
      <w:proofErr w:type="gramEnd"/>
    </w:p>
  </w:footnote>
  <w:footnote w:id="5">
    <w:p w14:paraId="71468153" w14:textId="303191C4" w:rsidR="00C56563" w:rsidRPr="002F628A" w:rsidRDefault="00C56563">
      <w:pPr>
        <w:pStyle w:val="FootnoteText"/>
      </w:pPr>
      <w:r w:rsidRPr="002F628A">
        <w:rPr>
          <w:rStyle w:val="FootnoteReference"/>
        </w:rPr>
        <w:footnoteRef/>
      </w:r>
      <w:r w:rsidRPr="002F628A">
        <w:t xml:space="preserve"> </w:t>
      </w:r>
      <w:r w:rsidR="003B1931" w:rsidRPr="002F628A">
        <w:rPr>
          <w:sz w:val="16"/>
          <w:szCs w:val="16"/>
        </w:rPr>
        <w:t xml:space="preserve">GHG holding lease (other than a cross boundary GHG holding lease): (paragraphs 324(4)(a) &amp; (b); Cross Boundary GHG holding lease: subsection 329A(4); Petroleum </w:t>
      </w:r>
      <w:r w:rsidR="00AA3F93" w:rsidRPr="002F628A">
        <w:rPr>
          <w:sz w:val="16"/>
          <w:szCs w:val="16"/>
        </w:rPr>
        <w:t xml:space="preserve">retention licence </w:t>
      </w:r>
      <w:r w:rsidR="00295EEA" w:rsidRPr="002F628A">
        <w:rPr>
          <w:sz w:val="16"/>
          <w:szCs w:val="16"/>
        </w:rPr>
        <w:t xml:space="preserve">- </w:t>
      </w:r>
      <w:r w:rsidR="003B1931" w:rsidRPr="002F628A">
        <w:rPr>
          <w:sz w:val="16"/>
          <w:szCs w:val="16"/>
        </w:rPr>
        <w:t>subsection 343(1C)</w:t>
      </w:r>
      <w:r w:rsidR="003B7AD4" w:rsidRPr="002F628A">
        <w:rPr>
          <w:sz w:val="16"/>
          <w:szCs w:val="16"/>
        </w:rPr>
        <w:t>.</w:t>
      </w:r>
    </w:p>
  </w:footnote>
  <w:footnote w:id="6">
    <w:p w14:paraId="6FD39F52" w14:textId="23AF9843" w:rsidR="00C56563" w:rsidRPr="002F628A" w:rsidRDefault="00C56563">
      <w:pPr>
        <w:pStyle w:val="FootnoteText"/>
      </w:pPr>
      <w:r w:rsidRPr="002F628A">
        <w:rPr>
          <w:rStyle w:val="FootnoteReference"/>
        </w:rPr>
        <w:footnoteRef/>
      </w:r>
      <w:r w:rsidRPr="002F628A">
        <w:t xml:space="preserve"> </w:t>
      </w:r>
      <w:r w:rsidR="003B1931" w:rsidRPr="002F628A">
        <w:rPr>
          <w:sz w:val="16"/>
          <w:szCs w:val="16"/>
        </w:rPr>
        <w:t>GHG holding lease (other than a cross boundary GHG holding lease)</w:t>
      </w:r>
      <w:r w:rsidR="00B267E4" w:rsidRPr="002F628A">
        <w:rPr>
          <w:sz w:val="16"/>
          <w:szCs w:val="16"/>
        </w:rPr>
        <w:t xml:space="preserve"> - </w:t>
      </w:r>
      <w:r w:rsidR="003B1931" w:rsidRPr="002F628A">
        <w:rPr>
          <w:sz w:val="16"/>
          <w:szCs w:val="16"/>
        </w:rPr>
        <w:t>paragraphs 324(5)(a</w:t>
      </w:r>
      <w:r w:rsidR="00FC1FFA" w:rsidRPr="002F628A">
        <w:rPr>
          <w:sz w:val="16"/>
          <w:szCs w:val="16"/>
        </w:rPr>
        <w:t>), (</w:t>
      </w:r>
      <w:r w:rsidR="003B1931" w:rsidRPr="002F628A">
        <w:rPr>
          <w:sz w:val="16"/>
          <w:szCs w:val="16"/>
        </w:rPr>
        <w:t>b)</w:t>
      </w:r>
      <w:r w:rsidR="00AD7F18" w:rsidRPr="002F628A">
        <w:rPr>
          <w:sz w:val="16"/>
          <w:szCs w:val="16"/>
        </w:rPr>
        <w:t xml:space="preserve"> &amp; (c)</w:t>
      </w:r>
      <w:r w:rsidR="003B1931" w:rsidRPr="002F628A">
        <w:rPr>
          <w:sz w:val="16"/>
          <w:szCs w:val="16"/>
        </w:rPr>
        <w:t xml:space="preserve">; Cross </w:t>
      </w:r>
      <w:r w:rsidR="00AA3F93" w:rsidRPr="002F628A">
        <w:rPr>
          <w:sz w:val="16"/>
          <w:szCs w:val="16"/>
        </w:rPr>
        <w:t xml:space="preserve">boundary ghg holding lease </w:t>
      </w:r>
      <w:r w:rsidR="00295EEA" w:rsidRPr="002F628A">
        <w:rPr>
          <w:sz w:val="16"/>
          <w:szCs w:val="16"/>
        </w:rPr>
        <w:t>-</w:t>
      </w:r>
      <w:r w:rsidR="003B1931" w:rsidRPr="002F628A">
        <w:rPr>
          <w:sz w:val="16"/>
          <w:szCs w:val="16"/>
        </w:rPr>
        <w:t xml:space="preserve"> subsection 329A(5); Petroleum </w:t>
      </w:r>
      <w:r w:rsidR="00AA3F93" w:rsidRPr="002F628A">
        <w:rPr>
          <w:sz w:val="16"/>
          <w:szCs w:val="16"/>
        </w:rPr>
        <w:t xml:space="preserve">retention licence </w:t>
      </w:r>
      <w:r w:rsidR="00295EEA" w:rsidRPr="002F628A">
        <w:rPr>
          <w:sz w:val="16"/>
          <w:szCs w:val="16"/>
        </w:rPr>
        <w:t xml:space="preserve">- </w:t>
      </w:r>
      <w:r w:rsidR="003B1931" w:rsidRPr="002F628A">
        <w:rPr>
          <w:sz w:val="16"/>
          <w:szCs w:val="16"/>
        </w:rPr>
        <w:t>subsection 343(1</w:t>
      </w:r>
      <w:r w:rsidR="003B7AD4" w:rsidRPr="002F628A">
        <w:rPr>
          <w:sz w:val="16"/>
          <w:szCs w:val="16"/>
        </w:rPr>
        <w:t>D</w:t>
      </w:r>
      <w:r w:rsidR="003B1931" w:rsidRPr="002F628A">
        <w:rPr>
          <w:sz w:val="16"/>
          <w:szCs w:val="16"/>
        </w:rPr>
        <w:t>)</w:t>
      </w:r>
      <w:r w:rsidR="003B7AD4" w:rsidRPr="002F628A">
        <w:rPr>
          <w:sz w:val="16"/>
          <w:szCs w:val="16"/>
        </w:rPr>
        <w:t>.</w:t>
      </w:r>
    </w:p>
  </w:footnote>
  <w:footnote w:id="7">
    <w:p w14:paraId="22586D2E" w14:textId="470A1113" w:rsidR="00B35E32" w:rsidRPr="00F7612B" w:rsidRDefault="00B35E32">
      <w:pPr>
        <w:pStyle w:val="FootnoteText"/>
        <w:rPr>
          <w:sz w:val="16"/>
          <w:szCs w:val="16"/>
        </w:rPr>
      </w:pPr>
      <w:r w:rsidRPr="00F7612B">
        <w:rPr>
          <w:rStyle w:val="FootnoteReference"/>
          <w:sz w:val="16"/>
          <w:szCs w:val="16"/>
        </w:rPr>
        <w:footnoteRef/>
      </w:r>
      <w:r w:rsidRPr="00F7612B">
        <w:rPr>
          <w:sz w:val="16"/>
          <w:szCs w:val="16"/>
        </w:rPr>
        <w:t xml:space="preserve"> </w:t>
      </w:r>
      <w:r w:rsidR="008D6DBB" w:rsidRPr="00F7612B">
        <w:rPr>
          <w:sz w:val="16"/>
          <w:szCs w:val="16"/>
        </w:rPr>
        <w:t xml:space="preserve">Paragraph </w:t>
      </w:r>
      <w:r w:rsidR="00EE50E8" w:rsidRPr="00F7612B">
        <w:rPr>
          <w:sz w:val="16"/>
          <w:szCs w:val="16"/>
        </w:rPr>
        <w:t>325(1)</w:t>
      </w:r>
      <w:r w:rsidR="00365066" w:rsidRPr="00F7612B">
        <w:rPr>
          <w:sz w:val="16"/>
          <w:szCs w:val="16"/>
        </w:rPr>
        <w:t>(c) OPGGS Act.</w:t>
      </w:r>
    </w:p>
  </w:footnote>
  <w:footnote w:id="8">
    <w:p w14:paraId="2B1AED5D" w14:textId="6C285F18" w:rsidR="005A795F" w:rsidRPr="00F7612B" w:rsidRDefault="005A795F" w:rsidP="005A795F">
      <w:pPr>
        <w:rPr>
          <w:rFonts w:cstheme="minorHAnsi"/>
          <w:sz w:val="16"/>
          <w:szCs w:val="16"/>
        </w:rPr>
      </w:pPr>
      <w:r w:rsidRPr="00F7612B">
        <w:rPr>
          <w:rStyle w:val="FootnoteReference"/>
          <w:rFonts w:cstheme="minorHAnsi"/>
          <w:sz w:val="16"/>
          <w:szCs w:val="16"/>
        </w:rPr>
        <w:footnoteRef/>
      </w:r>
      <w:r w:rsidRPr="00F7612B">
        <w:rPr>
          <w:rFonts w:cstheme="minorHAnsi"/>
          <w:sz w:val="16"/>
          <w:szCs w:val="16"/>
        </w:rPr>
        <w:t xml:space="preserve"> The RCM and the CBA (as applicable) may grant a GHG holding lease subject to whatever conditions are considered appropriate (subsections 320(1) and 320A(1) of the OPGGS Act). The conditions of a GHG holding lease, renewal</w:t>
      </w:r>
      <w:r w:rsidRPr="00F7612B">
        <w:rPr>
          <w:rStyle w:val="FootnoteReference"/>
          <w:rFonts w:cstheme="minorHAnsi"/>
          <w:sz w:val="16"/>
          <w:szCs w:val="16"/>
        </w:rPr>
        <w:footnoteRef/>
      </w:r>
      <w:r w:rsidRPr="00F7612B">
        <w:rPr>
          <w:rFonts w:cstheme="minorHAnsi"/>
          <w:sz w:val="16"/>
          <w:szCs w:val="16"/>
        </w:rPr>
        <w:t xml:space="preserve"> and variation are outside the scope of this fact sheet and will be covered under a future GHG holding lease guideline or fact sheet as required.</w:t>
      </w:r>
    </w:p>
    <w:p w14:paraId="21C88020" w14:textId="4310E386" w:rsidR="005A795F" w:rsidRDefault="005A795F">
      <w:pPr>
        <w:pStyle w:val="FootnoteText"/>
      </w:pPr>
    </w:p>
  </w:footnote>
  <w:footnote w:id="9">
    <w:p w14:paraId="41A0B95E" w14:textId="1916C0DC" w:rsidR="009846F6" w:rsidRDefault="009846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612B">
        <w:rPr>
          <w:sz w:val="16"/>
          <w:szCs w:val="16"/>
        </w:rPr>
        <w:t>Pursuant</w:t>
      </w:r>
      <w:r w:rsidRPr="00F7612B">
        <w:rPr>
          <w:b/>
          <w:bCs/>
          <w:sz w:val="16"/>
          <w:szCs w:val="16"/>
        </w:rPr>
        <w:t xml:space="preserve"> </w:t>
      </w:r>
      <w:r w:rsidRPr="00F7612B">
        <w:rPr>
          <w:sz w:val="16"/>
          <w:szCs w:val="16"/>
        </w:rPr>
        <w:t xml:space="preserve">to sections 329, 329F, 335, 335F and 346 of the OPPGS Act, if a transfer of a GHG assessment permit, cross-boundary assessment permit, injection licence, cross-boundary assessment permit, injection licence, cross-boundary injection licences or petroleum retention lease has been registered under section 530 of the OPGGS Act </w:t>
      </w:r>
      <w:r w:rsidRPr="00F7612B">
        <w:rPr>
          <w:sz w:val="16"/>
          <w:szCs w:val="16"/>
          <w:u w:val="single"/>
        </w:rPr>
        <w:t>after</w:t>
      </w:r>
      <w:r w:rsidRPr="00F7612B">
        <w:rPr>
          <w:sz w:val="16"/>
          <w:szCs w:val="16"/>
        </w:rPr>
        <w:t xml:space="preserve"> an application for a holding lease is made and </w:t>
      </w:r>
      <w:r w:rsidRPr="00F7612B">
        <w:rPr>
          <w:sz w:val="16"/>
          <w:szCs w:val="16"/>
          <w:u w:val="single"/>
        </w:rPr>
        <w:t>before</w:t>
      </w:r>
      <w:r w:rsidRPr="00F7612B">
        <w:rPr>
          <w:sz w:val="16"/>
          <w:szCs w:val="16"/>
        </w:rPr>
        <w:t xml:space="preserve"> the RCM has made a decision to either offer or refuse to grant a holding lease, the transferee will be treated as the applicant for the holding lease.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0D2B" w14:textId="3BB37744" w:rsidR="00760394" w:rsidRDefault="00096EC6" w:rsidP="004623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921ED3A" wp14:editId="43D4FA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82215" cy="543560"/>
              <wp:effectExtent l="0" t="0" r="13335" b="8890"/>
              <wp:wrapNone/>
              <wp:docPr id="1565845030" name="Text Box 2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3F89B" w14:textId="28D50E2E" w:rsidR="00096EC6" w:rsidRPr="00096EC6" w:rsidRDefault="00096EC6" w:rsidP="00096E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6EC6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1ED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//Legal-Privilege" style="position:absolute;margin-left:0;margin-top:0;width:195.45pt;height:42.8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L7CwIAABY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" filled="f" stroked="f">
              <v:textbox style="mso-fit-shape-to-text:t" inset="0,15pt,0,0">
                <w:txbxContent>
                  <w:p w14:paraId="1433F89B" w14:textId="28D50E2E" w:rsidR="00096EC6" w:rsidRPr="00096EC6" w:rsidRDefault="00096EC6" w:rsidP="00096E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096EC6"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9656" w14:textId="6EF33774" w:rsidR="00760394" w:rsidRDefault="00760394" w:rsidP="0046230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F4F6BBA" wp14:editId="7B00386D">
          <wp:simplePos x="0" y="0"/>
          <wp:positionH relativeFrom="page">
            <wp:posOffset>-17145</wp:posOffset>
          </wp:positionH>
          <wp:positionV relativeFrom="page">
            <wp:posOffset>-26670</wp:posOffset>
          </wp:positionV>
          <wp:extent cx="7563600" cy="1562400"/>
          <wp:effectExtent l="0" t="0" r="0" b="0"/>
          <wp:wrapNone/>
          <wp:docPr id="1352985942" name="Picture 1352985942" descr="NOPTA Factshee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5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DD1A" w14:textId="6F376891" w:rsidR="00760394" w:rsidRDefault="00096EC6" w:rsidP="004623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5307C3C" wp14:editId="6EBF34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82215" cy="543560"/>
              <wp:effectExtent l="0" t="0" r="13335" b="8890"/>
              <wp:wrapNone/>
              <wp:docPr id="1157428776" name="Text Box 1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1A123" w14:textId="70AFA25D" w:rsidR="00096EC6" w:rsidRPr="00096EC6" w:rsidRDefault="00096EC6" w:rsidP="00096E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6EC6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07C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//Legal-Privilege" style="position:absolute;margin-left:0;margin-top:0;width:195.45pt;height:42.8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" filled="f" stroked="f">
              <v:textbox style="mso-fit-shape-to-text:t" inset="0,15pt,0,0">
                <w:txbxContent>
                  <w:p w14:paraId="41A1A123" w14:textId="70AFA25D" w:rsidR="00096EC6" w:rsidRPr="00096EC6" w:rsidRDefault="00096EC6" w:rsidP="00096E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096EC6"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8C33" w14:textId="2B2D02B8" w:rsidR="00D01D51" w:rsidRDefault="00096E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B9CF99A" wp14:editId="71D96D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82215" cy="543560"/>
              <wp:effectExtent l="0" t="0" r="13335" b="8890"/>
              <wp:wrapNone/>
              <wp:docPr id="1185498316" name="Text Box 5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B00EB" w14:textId="4BFF1C60" w:rsidR="00096EC6" w:rsidRPr="00096EC6" w:rsidRDefault="00096EC6" w:rsidP="00096E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6EC6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CF9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//Legal-Privilege" style="position:absolute;margin-left:0;margin-top:0;width:195.45pt;height:42.8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" filled="f" stroked="f">
              <v:textbox style="mso-fit-shape-to-text:t" inset="0,15pt,0,0">
                <w:txbxContent>
                  <w:p w14:paraId="691B00EB" w14:textId="4BFF1C60" w:rsidR="00096EC6" w:rsidRPr="00096EC6" w:rsidRDefault="00096EC6" w:rsidP="00096E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096EC6"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9E94" w14:textId="78CE08EF" w:rsidR="00F63AA9" w:rsidRDefault="007C7EA0" w:rsidP="0046230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3A6672F" wp14:editId="01FFA06D">
          <wp:simplePos x="0" y="0"/>
          <wp:positionH relativeFrom="page">
            <wp:posOffset>3844</wp:posOffset>
          </wp:positionH>
          <wp:positionV relativeFrom="page">
            <wp:posOffset>-3501</wp:posOffset>
          </wp:positionV>
          <wp:extent cx="7563600" cy="1562400"/>
          <wp:effectExtent l="0" t="0" r="0" b="0"/>
          <wp:wrapNone/>
          <wp:docPr id="360622439" name="Picture 360622439" descr="NOPTA Factshee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5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A8EA" w14:textId="03A34F7C" w:rsidR="00D01D51" w:rsidRDefault="00096E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74A7DC" wp14:editId="0446C9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82215" cy="543560"/>
              <wp:effectExtent l="0" t="0" r="13335" b="8890"/>
              <wp:wrapNone/>
              <wp:docPr id="431745871" name="Text Box 4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221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EEF07" w14:textId="3CB4B6D6" w:rsidR="00096EC6" w:rsidRPr="00096EC6" w:rsidRDefault="00096EC6" w:rsidP="00096E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96EC6">
                            <w:rPr>
                              <w:rFonts w:ascii="Arial" w:eastAsia="Arial" w:hAnsi="Arial" w:cs="Arial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4A7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: Sensitive//Legal-Privilege" style="position:absolute;margin-left:0;margin-top:0;width:195.45pt;height:42.8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" filled="f" stroked="f">
              <v:textbox style="mso-fit-shape-to-text:t" inset="0,15pt,0,0">
                <w:txbxContent>
                  <w:p w14:paraId="2BCEEF07" w14:textId="3CB4B6D6" w:rsidR="00096EC6" w:rsidRPr="00096EC6" w:rsidRDefault="00096EC6" w:rsidP="00096E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</w:pPr>
                    <w:r w:rsidRPr="00096EC6">
                      <w:rPr>
                        <w:rFonts w:ascii="Arial" w:eastAsia="Arial" w:hAnsi="Arial" w:cs="Arial"/>
                        <w:noProof/>
                        <w:color w:val="C0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D33"/>
    <w:multiLevelType w:val="hybridMultilevel"/>
    <w:tmpl w:val="68C02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4B6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E0E"/>
    <w:multiLevelType w:val="hybridMultilevel"/>
    <w:tmpl w:val="5AA0440E"/>
    <w:lvl w:ilvl="0" w:tplc="46662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12E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EE2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1AC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9D4F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19A66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E44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5EB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E03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B443086"/>
    <w:multiLevelType w:val="hybridMultilevel"/>
    <w:tmpl w:val="A48E4A98"/>
    <w:lvl w:ilvl="0" w:tplc="0218C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1A2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489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3AEE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4235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6A27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16E3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E27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7DA2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DDD5FD2"/>
    <w:multiLevelType w:val="hybridMultilevel"/>
    <w:tmpl w:val="AA9EE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888"/>
    <w:multiLevelType w:val="hybridMultilevel"/>
    <w:tmpl w:val="0100D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60A9A"/>
    <w:multiLevelType w:val="hybridMultilevel"/>
    <w:tmpl w:val="7D186E3E"/>
    <w:lvl w:ilvl="0" w:tplc="A108292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D0934"/>
    <w:multiLevelType w:val="hybridMultilevel"/>
    <w:tmpl w:val="1876C994"/>
    <w:lvl w:ilvl="0" w:tplc="FFFFFFFF">
      <w:start w:val="1"/>
      <w:numFmt w:val="bullet"/>
      <w:pStyle w:val="Style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7F58E7"/>
    <w:multiLevelType w:val="hybridMultilevel"/>
    <w:tmpl w:val="588C4A7A"/>
    <w:lvl w:ilvl="0" w:tplc="6E4CB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3E30B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A7229"/>
    <w:multiLevelType w:val="hybridMultilevel"/>
    <w:tmpl w:val="9BD4A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19B8"/>
    <w:multiLevelType w:val="hybridMultilevel"/>
    <w:tmpl w:val="D332E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67003"/>
    <w:multiLevelType w:val="hybridMultilevel"/>
    <w:tmpl w:val="CD083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1579A"/>
    <w:multiLevelType w:val="hybridMultilevel"/>
    <w:tmpl w:val="EA5A0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B075F"/>
    <w:multiLevelType w:val="hybridMultilevel"/>
    <w:tmpl w:val="425E79DA"/>
    <w:lvl w:ilvl="0" w:tplc="967ED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5F15EB"/>
    <w:multiLevelType w:val="hybridMultilevel"/>
    <w:tmpl w:val="07A6B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9219C"/>
    <w:multiLevelType w:val="hybridMultilevel"/>
    <w:tmpl w:val="F248701C"/>
    <w:lvl w:ilvl="0" w:tplc="54280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EEF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086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6231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0E1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8226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8EA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DCE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D2D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B1B5613"/>
    <w:multiLevelType w:val="hybridMultilevel"/>
    <w:tmpl w:val="DF4AA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758A7"/>
    <w:multiLevelType w:val="hybridMultilevel"/>
    <w:tmpl w:val="A5C4E864"/>
    <w:lvl w:ilvl="0" w:tplc="DF5ED3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0A32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83EEE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4044A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176A9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B4A04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6B45D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9AA33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FB857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66342273"/>
    <w:multiLevelType w:val="hybridMultilevel"/>
    <w:tmpl w:val="8834C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374D0"/>
    <w:multiLevelType w:val="hybridMultilevel"/>
    <w:tmpl w:val="D6BEF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F6C0F"/>
    <w:multiLevelType w:val="hybridMultilevel"/>
    <w:tmpl w:val="B908E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73157"/>
    <w:multiLevelType w:val="hybridMultilevel"/>
    <w:tmpl w:val="0582B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A7A29"/>
    <w:multiLevelType w:val="hybridMultilevel"/>
    <w:tmpl w:val="AF4CA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27FE2"/>
    <w:multiLevelType w:val="hybridMultilevel"/>
    <w:tmpl w:val="B31CB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641564">
    <w:abstractNumId w:val="7"/>
  </w:num>
  <w:num w:numId="2" w16cid:durableId="2005737980">
    <w:abstractNumId w:val="7"/>
  </w:num>
  <w:num w:numId="3" w16cid:durableId="1269508092">
    <w:abstractNumId w:val="7"/>
  </w:num>
  <w:num w:numId="4" w16cid:durableId="2045053763">
    <w:abstractNumId w:val="7"/>
  </w:num>
  <w:num w:numId="5" w16cid:durableId="7492808">
    <w:abstractNumId w:val="7"/>
  </w:num>
  <w:num w:numId="6" w16cid:durableId="681276144">
    <w:abstractNumId w:val="7"/>
  </w:num>
  <w:num w:numId="7" w16cid:durableId="1758164784">
    <w:abstractNumId w:val="7"/>
  </w:num>
  <w:num w:numId="8" w16cid:durableId="1506827241">
    <w:abstractNumId w:val="7"/>
  </w:num>
  <w:num w:numId="9" w16cid:durableId="396979855">
    <w:abstractNumId w:val="7"/>
  </w:num>
  <w:num w:numId="10" w16cid:durableId="1952737763">
    <w:abstractNumId w:val="20"/>
  </w:num>
  <w:num w:numId="11" w16cid:durableId="458839176">
    <w:abstractNumId w:val="16"/>
  </w:num>
  <w:num w:numId="12" w16cid:durableId="222521442">
    <w:abstractNumId w:val="9"/>
  </w:num>
  <w:num w:numId="13" w16cid:durableId="1518734288">
    <w:abstractNumId w:val="21"/>
  </w:num>
  <w:num w:numId="14" w16cid:durableId="211118499">
    <w:abstractNumId w:val="15"/>
  </w:num>
  <w:num w:numId="15" w16cid:durableId="840046641">
    <w:abstractNumId w:val="11"/>
  </w:num>
  <w:num w:numId="16" w16cid:durableId="1951013307">
    <w:abstractNumId w:val="10"/>
  </w:num>
  <w:num w:numId="17" w16cid:durableId="231738456">
    <w:abstractNumId w:val="8"/>
  </w:num>
  <w:num w:numId="18" w16cid:durableId="826937420">
    <w:abstractNumId w:val="13"/>
  </w:num>
  <w:num w:numId="19" w16cid:durableId="1607420870">
    <w:abstractNumId w:val="5"/>
  </w:num>
  <w:num w:numId="20" w16cid:durableId="1887402628">
    <w:abstractNumId w:val="18"/>
  </w:num>
  <w:num w:numId="21" w16cid:durableId="1851992303">
    <w:abstractNumId w:val="0"/>
  </w:num>
  <w:num w:numId="22" w16cid:durableId="870533855">
    <w:abstractNumId w:val="4"/>
  </w:num>
  <w:num w:numId="23" w16cid:durableId="1372152537">
    <w:abstractNumId w:val="17"/>
  </w:num>
  <w:num w:numId="24" w16cid:durableId="109322227">
    <w:abstractNumId w:val="19"/>
  </w:num>
  <w:num w:numId="25" w16cid:durableId="1523124303">
    <w:abstractNumId w:val="22"/>
  </w:num>
  <w:num w:numId="26" w16cid:durableId="816338006">
    <w:abstractNumId w:val="0"/>
  </w:num>
  <w:num w:numId="27" w16cid:durableId="604075689">
    <w:abstractNumId w:val="0"/>
  </w:num>
  <w:num w:numId="28" w16cid:durableId="1099252733">
    <w:abstractNumId w:val="0"/>
  </w:num>
  <w:num w:numId="29" w16cid:durableId="1471093490">
    <w:abstractNumId w:val="2"/>
  </w:num>
  <w:num w:numId="30" w16cid:durableId="1848982597">
    <w:abstractNumId w:val="1"/>
  </w:num>
  <w:num w:numId="31" w16cid:durableId="1441409222">
    <w:abstractNumId w:val="14"/>
  </w:num>
  <w:num w:numId="32" w16cid:durableId="1758937512">
    <w:abstractNumId w:val="6"/>
  </w:num>
  <w:num w:numId="33" w16cid:durableId="1949775793">
    <w:abstractNumId w:val="12"/>
  </w:num>
  <w:num w:numId="34" w16cid:durableId="1615940173">
    <w:abstractNumId w:val="3"/>
  </w:num>
  <w:num w:numId="35" w16cid:durableId="185430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94"/>
    <w:rsid w:val="00000660"/>
    <w:rsid w:val="000008EB"/>
    <w:rsid w:val="000018A0"/>
    <w:rsid w:val="00001AFF"/>
    <w:rsid w:val="000020FD"/>
    <w:rsid w:val="00002719"/>
    <w:rsid w:val="0000373B"/>
    <w:rsid w:val="00003A12"/>
    <w:rsid w:val="00003BDE"/>
    <w:rsid w:val="00004820"/>
    <w:rsid w:val="00004EA6"/>
    <w:rsid w:val="00005424"/>
    <w:rsid w:val="00006AB9"/>
    <w:rsid w:val="00006BF5"/>
    <w:rsid w:val="00007089"/>
    <w:rsid w:val="000070B4"/>
    <w:rsid w:val="00007145"/>
    <w:rsid w:val="000071EB"/>
    <w:rsid w:val="000100DE"/>
    <w:rsid w:val="00010CFC"/>
    <w:rsid w:val="000118C0"/>
    <w:rsid w:val="000121EC"/>
    <w:rsid w:val="00012474"/>
    <w:rsid w:val="00012BBC"/>
    <w:rsid w:val="000135D2"/>
    <w:rsid w:val="0001388F"/>
    <w:rsid w:val="000146C3"/>
    <w:rsid w:val="000148DB"/>
    <w:rsid w:val="00016431"/>
    <w:rsid w:val="0001671A"/>
    <w:rsid w:val="000172E6"/>
    <w:rsid w:val="0001753D"/>
    <w:rsid w:val="00017B12"/>
    <w:rsid w:val="00020068"/>
    <w:rsid w:val="0002129F"/>
    <w:rsid w:val="000215E6"/>
    <w:rsid w:val="00021A35"/>
    <w:rsid w:val="00022C9D"/>
    <w:rsid w:val="000245D4"/>
    <w:rsid w:val="000248B6"/>
    <w:rsid w:val="000256B3"/>
    <w:rsid w:val="0002601E"/>
    <w:rsid w:val="00026396"/>
    <w:rsid w:val="00026420"/>
    <w:rsid w:val="00026635"/>
    <w:rsid w:val="0002709D"/>
    <w:rsid w:val="000273A5"/>
    <w:rsid w:val="0002791B"/>
    <w:rsid w:val="00030A02"/>
    <w:rsid w:val="0003163E"/>
    <w:rsid w:val="00031840"/>
    <w:rsid w:val="000319B6"/>
    <w:rsid w:val="00031B4B"/>
    <w:rsid w:val="000322AF"/>
    <w:rsid w:val="000326D9"/>
    <w:rsid w:val="00032DBC"/>
    <w:rsid w:val="00032F7C"/>
    <w:rsid w:val="0003336A"/>
    <w:rsid w:val="00033413"/>
    <w:rsid w:val="00033855"/>
    <w:rsid w:val="000341CA"/>
    <w:rsid w:val="0003450A"/>
    <w:rsid w:val="00034F78"/>
    <w:rsid w:val="00035731"/>
    <w:rsid w:val="00036A15"/>
    <w:rsid w:val="00036C30"/>
    <w:rsid w:val="00036F1C"/>
    <w:rsid w:val="00037241"/>
    <w:rsid w:val="00037BF2"/>
    <w:rsid w:val="00040CB2"/>
    <w:rsid w:val="00041438"/>
    <w:rsid w:val="00041CB4"/>
    <w:rsid w:val="00042051"/>
    <w:rsid w:val="000423A3"/>
    <w:rsid w:val="00042A69"/>
    <w:rsid w:val="00043371"/>
    <w:rsid w:val="00043799"/>
    <w:rsid w:val="00043D30"/>
    <w:rsid w:val="00043D77"/>
    <w:rsid w:val="000443A3"/>
    <w:rsid w:val="0004480D"/>
    <w:rsid w:val="00044AA5"/>
    <w:rsid w:val="00044CDD"/>
    <w:rsid w:val="00045B73"/>
    <w:rsid w:val="00045C53"/>
    <w:rsid w:val="00046174"/>
    <w:rsid w:val="00046C94"/>
    <w:rsid w:val="00046EEE"/>
    <w:rsid w:val="000507FD"/>
    <w:rsid w:val="00050D6D"/>
    <w:rsid w:val="0005153F"/>
    <w:rsid w:val="000515E2"/>
    <w:rsid w:val="00051968"/>
    <w:rsid w:val="00052069"/>
    <w:rsid w:val="00052F3C"/>
    <w:rsid w:val="00052FE0"/>
    <w:rsid w:val="0005338F"/>
    <w:rsid w:val="000545F4"/>
    <w:rsid w:val="00054847"/>
    <w:rsid w:val="000549B5"/>
    <w:rsid w:val="000552B9"/>
    <w:rsid w:val="0005667C"/>
    <w:rsid w:val="00056ACB"/>
    <w:rsid w:val="0005724E"/>
    <w:rsid w:val="0005763F"/>
    <w:rsid w:val="00057EF7"/>
    <w:rsid w:val="00060333"/>
    <w:rsid w:val="00061489"/>
    <w:rsid w:val="00061BF0"/>
    <w:rsid w:val="00061BF6"/>
    <w:rsid w:val="00063B4D"/>
    <w:rsid w:val="00064A7C"/>
    <w:rsid w:val="00064C51"/>
    <w:rsid w:val="00064F07"/>
    <w:rsid w:val="0006621E"/>
    <w:rsid w:val="0006695E"/>
    <w:rsid w:val="00066AF4"/>
    <w:rsid w:val="00066C3F"/>
    <w:rsid w:val="00067316"/>
    <w:rsid w:val="0006760F"/>
    <w:rsid w:val="000702B5"/>
    <w:rsid w:val="000718E4"/>
    <w:rsid w:val="00071A79"/>
    <w:rsid w:val="00073AA4"/>
    <w:rsid w:val="00074023"/>
    <w:rsid w:val="0007454D"/>
    <w:rsid w:val="00074AE2"/>
    <w:rsid w:val="00075ECA"/>
    <w:rsid w:val="00076CA5"/>
    <w:rsid w:val="000776DC"/>
    <w:rsid w:val="00080036"/>
    <w:rsid w:val="00080156"/>
    <w:rsid w:val="0008034C"/>
    <w:rsid w:val="0008053D"/>
    <w:rsid w:val="00080756"/>
    <w:rsid w:val="00081678"/>
    <w:rsid w:val="000824BE"/>
    <w:rsid w:val="00082BE0"/>
    <w:rsid w:val="0008358B"/>
    <w:rsid w:val="00083C14"/>
    <w:rsid w:val="00084E4E"/>
    <w:rsid w:val="00085634"/>
    <w:rsid w:val="00086DFA"/>
    <w:rsid w:val="00086F88"/>
    <w:rsid w:val="000874D2"/>
    <w:rsid w:val="000876CB"/>
    <w:rsid w:val="00087C60"/>
    <w:rsid w:val="00087ED4"/>
    <w:rsid w:val="000905A1"/>
    <w:rsid w:val="00090FBD"/>
    <w:rsid w:val="00091B8E"/>
    <w:rsid w:val="00091F51"/>
    <w:rsid w:val="000926E3"/>
    <w:rsid w:val="00092875"/>
    <w:rsid w:val="00093546"/>
    <w:rsid w:val="000935AC"/>
    <w:rsid w:val="00093B55"/>
    <w:rsid w:val="00093BED"/>
    <w:rsid w:val="00094E0B"/>
    <w:rsid w:val="0009521B"/>
    <w:rsid w:val="00096317"/>
    <w:rsid w:val="00096EC6"/>
    <w:rsid w:val="0009724E"/>
    <w:rsid w:val="00097636"/>
    <w:rsid w:val="0009780A"/>
    <w:rsid w:val="00097A3B"/>
    <w:rsid w:val="000A13E8"/>
    <w:rsid w:val="000A18D5"/>
    <w:rsid w:val="000A2082"/>
    <w:rsid w:val="000A232D"/>
    <w:rsid w:val="000A2E90"/>
    <w:rsid w:val="000A2EEA"/>
    <w:rsid w:val="000A3491"/>
    <w:rsid w:val="000A3A1B"/>
    <w:rsid w:val="000A3D27"/>
    <w:rsid w:val="000A4F45"/>
    <w:rsid w:val="000A5FAB"/>
    <w:rsid w:val="000A618C"/>
    <w:rsid w:val="000A6E57"/>
    <w:rsid w:val="000A6EC9"/>
    <w:rsid w:val="000A7254"/>
    <w:rsid w:val="000A767E"/>
    <w:rsid w:val="000A7815"/>
    <w:rsid w:val="000A7B0E"/>
    <w:rsid w:val="000B0407"/>
    <w:rsid w:val="000B0593"/>
    <w:rsid w:val="000B078A"/>
    <w:rsid w:val="000B0C27"/>
    <w:rsid w:val="000B0CED"/>
    <w:rsid w:val="000B1241"/>
    <w:rsid w:val="000B161A"/>
    <w:rsid w:val="000B171B"/>
    <w:rsid w:val="000B1B73"/>
    <w:rsid w:val="000B2021"/>
    <w:rsid w:val="000B30DC"/>
    <w:rsid w:val="000B3ED5"/>
    <w:rsid w:val="000B42A0"/>
    <w:rsid w:val="000B449C"/>
    <w:rsid w:val="000B4D47"/>
    <w:rsid w:val="000B5278"/>
    <w:rsid w:val="000B5E34"/>
    <w:rsid w:val="000B6A73"/>
    <w:rsid w:val="000B727D"/>
    <w:rsid w:val="000B745F"/>
    <w:rsid w:val="000B7762"/>
    <w:rsid w:val="000B7AF7"/>
    <w:rsid w:val="000B7B50"/>
    <w:rsid w:val="000C0216"/>
    <w:rsid w:val="000C05E0"/>
    <w:rsid w:val="000C08C3"/>
    <w:rsid w:val="000C1C30"/>
    <w:rsid w:val="000C25A1"/>
    <w:rsid w:val="000C284B"/>
    <w:rsid w:val="000C29CD"/>
    <w:rsid w:val="000C31BB"/>
    <w:rsid w:val="000C353C"/>
    <w:rsid w:val="000C4E33"/>
    <w:rsid w:val="000C5BCE"/>
    <w:rsid w:val="000C6719"/>
    <w:rsid w:val="000C6F66"/>
    <w:rsid w:val="000D041F"/>
    <w:rsid w:val="000D0548"/>
    <w:rsid w:val="000D093F"/>
    <w:rsid w:val="000D158F"/>
    <w:rsid w:val="000D1C5B"/>
    <w:rsid w:val="000D2EDA"/>
    <w:rsid w:val="000D3018"/>
    <w:rsid w:val="000D30AE"/>
    <w:rsid w:val="000D38B4"/>
    <w:rsid w:val="000D40A6"/>
    <w:rsid w:val="000D4666"/>
    <w:rsid w:val="000D5BB1"/>
    <w:rsid w:val="000D5C71"/>
    <w:rsid w:val="000D6566"/>
    <w:rsid w:val="000D6630"/>
    <w:rsid w:val="000D719B"/>
    <w:rsid w:val="000D76CB"/>
    <w:rsid w:val="000D7D28"/>
    <w:rsid w:val="000E039B"/>
    <w:rsid w:val="000E1227"/>
    <w:rsid w:val="000E1A75"/>
    <w:rsid w:val="000E1B06"/>
    <w:rsid w:val="000E1B0E"/>
    <w:rsid w:val="000E2CB5"/>
    <w:rsid w:val="000E2D6E"/>
    <w:rsid w:val="000E2DB6"/>
    <w:rsid w:val="000E2FBF"/>
    <w:rsid w:val="000E2FF5"/>
    <w:rsid w:val="000E3527"/>
    <w:rsid w:val="000E3E26"/>
    <w:rsid w:val="000E3F01"/>
    <w:rsid w:val="000E40EA"/>
    <w:rsid w:val="000E4D88"/>
    <w:rsid w:val="000E4E27"/>
    <w:rsid w:val="000E5065"/>
    <w:rsid w:val="000E5481"/>
    <w:rsid w:val="000E54D2"/>
    <w:rsid w:val="000E5C92"/>
    <w:rsid w:val="000E6331"/>
    <w:rsid w:val="000E6C7F"/>
    <w:rsid w:val="000F0065"/>
    <w:rsid w:val="000F007F"/>
    <w:rsid w:val="000F00F7"/>
    <w:rsid w:val="000F2F00"/>
    <w:rsid w:val="000F3792"/>
    <w:rsid w:val="000F3F1D"/>
    <w:rsid w:val="000F472F"/>
    <w:rsid w:val="000F4813"/>
    <w:rsid w:val="000F4B41"/>
    <w:rsid w:val="000F5224"/>
    <w:rsid w:val="000F5705"/>
    <w:rsid w:val="000F570F"/>
    <w:rsid w:val="000F5740"/>
    <w:rsid w:val="000F5B6E"/>
    <w:rsid w:val="000F612A"/>
    <w:rsid w:val="000F69CB"/>
    <w:rsid w:val="000F7CFA"/>
    <w:rsid w:val="00100103"/>
    <w:rsid w:val="00101076"/>
    <w:rsid w:val="001015DF"/>
    <w:rsid w:val="00101682"/>
    <w:rsid w:val="001016D8"/>
    <w:rsid w:val="00102E7B"/>
    <w:rsid w:val="00104B0A"/>
    <w:rsid w:val="00104C59"/>
    <w:rsid w:val="00105A0E"/>
    <w:rsid w:val="001062D6"/>
    <w:rsid w:val="001063AC"/>
    <w:rsid w:val="00106ADC"/>
    <w:rsid w:val="001074AA"/>
    <w:rsid w:val="001100D9"/>
    <w:rsid w:val="001106D0"/>
    <w:rsid w:val="001113A3"/>
    <w:rsid w:val="00112165"/>
    <w:rsid w:val="00112611"/>
    <w:rsid w:val="00112BA8"/>
    <w:rsid w:val="00113565"/>
    <w:rsid w:val="00113C3A"/>
    <w:rsid w:val="00113FE1"/>
    <w:rsid w:val="0011517F"/>
    <w:rsid w:val="00115AA6"/>
    <w:rsid w:val="00115CC3"/>
    <w:rsid w:val="001160F0"/>
    <w:rsid w:val="00117BBB"/>
    <w:rsid w:val="0012099C"/>
    <w:rsid w:val="00120DED"/>
    <w:rsid w:val="0012110D"/>
    <w:rsid w:val="00121DA9"/>
    <w:rsid w:val="00121EA0"/>
    <w:rsid w:val="0012261E"/>
    <w:rsid w:val="00123225"/>
    <w:rsid w:val="001232F4"/>
    <w:rsid w:val="0012357A"/>
    <w:rsid w:val="00125091"/>
    <w:rsid w:val="00125737"/>
    <w:rsid w:val="00125BD6"/>
    <w:rsid w:val="00125DA9"/>
    <w:rsid w:val="00126327"/>
    <w:rsid w:val="00127AD8"/>
    <w:rsid w:val="00127DE4"/>
    <w:rsid w:val="00130E53"/>
    <w:rsid w:val="001311E6"/>
    <w:rsid w:val="00131CE1"/>
    <w:rsid w:val="0013218E"/>
    <w:rsid w:val="0013226C"/>
    <w:rsid w:val="001323E3"/>
    <w:rsid w:val="00134200"/>
    <w:rsid w:val="00135401"/>
    <w:rsid w:val="0013599E"/>
    <w:rsid w:val="00135DA1"/>
    <w:rsid w:val="001377F1"/>
    <w:rsid w:val="00137848"/>
    <w:rsid w:val="00141135"/>
    <w:rsid w:val="001417E3"/>
    <w:rsid w:val="0014255E"/>
    <w:rsid w:val="00142C21"/>
    <w:rsid w:val="00144165"/>
    <w:rsid w:val="00144976"/>
    <w:rsid w:val="00144F00"/>
    <w:rsid w:val="00144F9F"/>
    <w:rsid w:val="00146753"/>
    <w:rsid w:val="0014695A"/>
    <w:rsid w:val="00146BC1"/>
    <w:rsid w:val="00146C20"/>
    <w:rsid w:val="00147F61"/>
    <w:rsid w:val="00150036"/>
    <w:rsid w:val="001510CF"/>
    <w:rsid w:val="00152825"/>
    <w:rsid w:val="001531B1"/>
    <w:rsid w:val="001538AE"/>
    <w:rsid w:val="00153E12"/>
    <w:rsid w:val="001548F7"/>
    <w:rsid w:val="00154AF8"/>
    <w:rsid w:val="00154C2B"/>
    <w:rsid w:val="00154F16"/>
    <w:rsid w:val="0015547A"/>
    <w:rsid w:val="00155CF7"/>
    <w:rsid w:val="0015616A"/>
    <w:rsid w:val="001574A3"/>
    <w:rsid w:val="00157584"/>
    <w:rsid w:val="0015766C"/>
    <w:rsid w:val="00161895"/>
    <w:rsid w:val="00162371"/>
    <w:rsid w:val="001639A0"/>
    <w:rsid w:val="00164B05"/>
    <w:rsid w:val="00164C59"/>
    <w:rsid w:val="001667C6"/>
    <w:rsid w:val="0017029D"/>
    <w:rsid w:val="001731E7"/>
    <w:rsid w:val="00173FF5"/>
    <w:rsid w:val="0017428C"/>
    <w:rsid w:val="00174D6C"/>
    <w:rsid w:val="00175390"/>
    <w:rsid w:val="00175A82"/>
    <w:rsid w:val="001760B2"/>
    <w:rsid w:val="00180455"/>
    <w:rsid w:val="00180917"/>
    <w:rsid w:val="00180954"/>
    <w:rsid w:val="00180A26"/>
    <w:rsid w:val="00180FF3"/>
    <w:rsid w:val="001818B1"/>
    <w:rsid w:val="001823E0"/>
    <w:rsid w:val="001835C9"/>
    <w:rsid w:val="0018393E"/>
    <w:rsid w:val="00184782"/>
    <w:rsid w:val="00184DA3"/>
    <w:rsid w:val="00185190"/>
    <w:rsid w:val="00185736"/>
    <w:rsid w:val="0018574E"/>
    <w:rsid w:val="00185E32"/>
    <w:rsid w:val="00185ED9"/>
    <w:rsid w:val="0018605F"/>
    <w:rsid w:val="001861A3"/>
    <w:rsid w:val="001861AA"/>
    <w:rsid w:val="00187564"/>
    <w:rsid w:val="0018791A"/>
    <w:rsid w:val="00190FC3"/>
    <w:rsid w:val="001915C8"/>
    <w:rsid w:val="00191DB4"/>
    <w:rsid w:val="0019203E"/>
    <w:rsid w:val="001923C6"/>
    <w:rsid w:val="00193B46"/>
    <w:rsid w:val="0019419E"/>
    <w:rsid w:val="001945E6"/>
    <w:rsid w:val="00194DEA"/>
    <w:rsid w:val="0019510F"/>
    <w:rsid w:val="00195230"/>
    <w:rsid w:val="0019525E"/>
    <w:rsid w:val="00195818"/>
    <w:rsid w:val="001965B9"/>
    <w:rsid w:val="0019662E"/>
    <w:rsid w:val="00196ABA"/>
    <w:rsid w:val="00197B60"/>
    <w:rsid w:val="001A06B5"/>
    <w:rsid w:val="001A0A33"/>
    <w:rsid w:val="001A0D55"/>
    <w:rsid w:val="001A251E"/>
    <w:rsid w:val="001A2E40"/>
    <w:rsid w:val="001A308F"/>
    <w:rsid w:val="001A33CD"/>
    <w:rsid w:val="001A35B9"/>
    <w:rsid w:val="001A3AFF"/>
    <w:rsid w:val="001A3ED9"/>
    <w:rsid w:val="001A40A7"/>
    <w:rsid w:val="001A40D3"/>
    <w:rsid w:val="001A417B"/>
    <w:rsid w:val="001A4967"/>
    <w:rsid w:val="001A4DBD"/>
    <w:rsid w:val="001B000E"/>
    <w:rsid w:val="001B11AA"/>
    <w:rsid w:val="001B11F9"/>
    <w:rsid w:val="001B1EA9"/>
    <w:rsid w:val="001B2025"/>
    <w:rsid w:val="001B2521"/>
    <w:rsid w:val="001B28F5"/>
    <w:rsid w:val="001B2B68"/>
    <w:rsid w:val="001B341F"/>
    <w:rsid w:val="001B3736"/>
    <w:rsid w:val="001B3B26"/>
    <w:rsid w:val="001B4338"/>
    <w:rsid w:val="001B4538"/>
    <w:rsid w:val="001B4749"/>
    <w:rsid w:val="001B4A98"/>
    <w:rsid w:val="001B4DD1"/>
    <w:rsid w:val="001B5249"/>
    <w:rsid w:val="001B6046"/>
    <w:rsid w:val="001B6F35"/>
    <w:rsid w:val="001B71AA"/>
    <w:rsid w:val="001B7278"/>
    <w:rsid w:val="001B7E98"/>
    <w:rsid w:val="001C0143"/>
    <w:rsid w:val="001C04D6"/>
    <w:rsid w:val="001C0C9C"/>
    <w:rsid w:val="001C128C"/>
    <w:rsid w:val="001C1DB7"/>
    <w:rsid w:val="001C1E45"/>
    <w:rsid w:val="001C32B0"/>
    <w:rsid w:val="001C3C57"/>
    <w:rsid w:val="001C4B7F"/>
    <w:rsid w:val="001C4CE0"/>
    <w:rsid w:val="001C586D"/>
    <w:rsid w:val="001C58F2"/>
    <w:rsid w:val="001C6180"/>
    <w:rsid w:val="001C76CC"/>
    <w:rsid w:val="001D00E1"/>
    <w:rsid w:val="001D0ECE"/>
    <w:rsid w:val="001D1733"/>
    <w:rsid w:val="001D1A8D"/>
    <w:rsid w:val="001D2660"/>
    <w:rsid w:val="001D29F5"/>
    <w:rsid w:val="001D3C94"/>
    <w:rsid w:val="001D3F8A"/>
    <w:rsid w:val="001D457E"/>
    <w:rsid w:val="001D46A0"/>
    <w:rsid w:val="001D485E"/>
    <w:rsid w:val="001D4FDB"/>
    <w:rsid w:val="001D536F"/>
    <w:rsid w:val="001D5646"/>
    <w:rsid w:val="001D63D5"/>
    <w:rsid w:val="001D70EF"/>
    <w:rsid w:val="001E03E8"/>
    <w:rsid w:val="001E055E"/>
    <w:rsid w:val="001E06E6"/>
    <w:rsid w:val="001E0786"/>
    <w:rsid w:val="001E122B"/>
    <w:rsid w:val="001E229A"/>
    <w:rsid w:val="001E22DE"/>
    <w:rsid w:val="001E2A1B"/>
    <w:rsid w:val="001E2CCA"/>
    <w:rsid w:val="001E3343"/>
    <w:rsid w:val="001E50BB"/>
    <w:rsid w:val="001E5576"/>
    <w:rsid w:val="001E5898"/>
    <w:rsid w:val="001E5D8F"/>
    <w:rsid w:val="001E61F5"/>
    <w:rsid w:val="001E6E37"/>
    <w:rsid w:val="001E7DB1"/>
    <w:rsid w:val="001F0F01"/>
    <w:rsid w:val="001F1656"/>
    <w:rsid w:val="001F19EB"/>
    <w:rsid w:val="001F20A3"/>
    <w:rsid w:val="001F22E6"/>
    <w:rsid w:val="001F2648"/>
    <w:rsid w:val="001F28D8"/>
    <w:rsid w:val="001F38C6"/>
    <w:rsid w:val="001F3B23"/>
    <w:rsid w:val="001F51B7"/>
    <w:rsid w:val="001F5BAB"/>
    <w:rsid w:val="001F5BD1"/>
    <w:rsid w:val="001F7985"/>
    <w:rsid w:val="00200B59"/>
    <w:rsid w:val="00200C17"/>
    <w:rsid w:val="00201689"/>
    <w:rsid w:val="00201B69"/>
    <w:rsid w:val="00202469"/>
    <w:rsid w:val="00202819"/>
    <w:rsid w:val="002033A0"/>
    <w:rsid w:val="00203764"/>
    <w:rsid w:val="00203A40"/>
    <w:rsid w:val="00203DDF"/>
    <w:rsid w:val="00204229"/>
    <w:rsid w:val="00204AC0"/>
    <w:rsid w:val="002050F8"/>
    <w:rsid w:val="002058D9"/>
    <w:rsid w:val="00205A60"/>
    <w:rsid w:val="00205E89"/>
    <w:rsid w:val="00206402"/>
    <w:rsid w:val="002068EC"/>
    <w:rsid w:val="00206961"/>
    <w:rsid w:val="00207BF8"/>
    <w:rsid w:val="00207CF3"/>
    <w:rsid w:val="00210AAC"/>
    <w:rsid w:val="00210BC3"/>
    <w:rsid w:val="00210BED"/>
    <w:rsid w:val="00210C01"/>
    <w:rsid w:val="00210E37"/>
    <w:rsid w:val="00210F99"/>
    <w:rsid w:val="002120C1"/>
    <w:rsid w:val="002122CA"/>
    <w:rsid w:val="00212E5F"/>
    <w:rsid w:val="0021381C"/>
    <w:rsid w:val="00214363"/>
    <w:rsid w:val="00215666"/>
    <w:rsid w:val="0021592F"/>
    <w:rsid w:val="002175E5"/>
    <w:rsid w:val="0022016B"/>
    <w:rsid w:val="00220515"/>
    <w:rsid w:val="002212DD"/>
    <w:rsid w:val="00221703"/>
    <w:rsid w:val="00221ABE"/>
    <w:rsid w:val="00221B93"/>
    <w:rsid w:val="00221FEF"/>
    <w:rsid w:val="002221E2"/>
    <w:rsid w:val="002227D5"/>
    <w:rsid w:val="00222E4B"/>
    <w:rsid w:val="002232CB"/>
    <w:rsid w:val="002246BB"/>
    <w:rsid w:val="00224B31"/>
    <w:rsid w:val="00224C34"/>
    <w:rsid w:val="00224CC1"/>
    <w:rsid w:val="00225396"/>
    <w:rsid w:val="00226C85"/>
    <w:rsid w:val="00231105"/>
    <w:rsid w:val="002312D6"/>
    <w:rsid w:val="002323D1"/>
    <w:rsid w:val="00232443"/>
    <w:rsid w:val="00232518"/>
    <w:rsid w:val="00232CC0"/>
    <w:rsid w:val="002335ED"/>
    <w:rsid w:val="00233E58"/>
    <w:rsid w:val="00233EE0"/>
    <w:rsid w:val="00234352"/>
    <w:rsid w:val="00234E1E"/>
    <w:rsid w:val="0023534F"/>
    <w:rsid w:val="002354B2"/>
    <w:rsid w:val="0023550B"/>
    <w:rsid w:val="00235842"/>
    <w:rsid w:val="00235C4D"/>
    <w:rsid w:val="00237015"/>
    <w:rsid w:val="002374DB"/>
    <w:rsid w:val="00237C41"/>
    <w:rsid w:val="00240E69"/>
    <w:rsid w:val="00241435"/>
    <w:rsid w:val="00241E21"/>
    <w:rsid w:val="002425E5"/>
    <w:rsid w:val="00242B3E"/>
    <w:rsid w:val="00242BC9"/>
    <w:rsid w:val="002437F3"/>
    <w:rsid w:val="00243849"/>
    <w:rsid w:val="00244ED5"/>
    <w:rsid w:val="00245A3F"/>
    <w:rsid w:val="00245C18"/>
    <w:rsid w:val="00245F76"/>
    <w:rsid w:val="002468B0"/>
    <w:rsid w:val="00247A79"/>
    <w:rsid w:val="00247CB1"/>
    <w:rsid w:val="002523D7"/>
    <w:rsid w:val="00252541"/>
    <w:rsid w:val="00252AB8"/>
    <w:rsid w:val="00252D5F"/>
    <w:rsid w:val="00252DD9"/>
    <w:rsid w:val="00253054"/>
    <w:rsid w:val="002546A0"/>
    <w:rsid w:val="0025485B"/>
    <w:rsid w:val="0025519A"/>
    <w:rsid w:val="002559F4"/>
    <w:rsid w:val="002562AD"/>
    <w:rsid w:val="00256A11"/>
    <w:rsid w:val="00257155"/>
    <w:rsid w:val="00257413"/>
    <w:rsid w:val="00257E5C"/>
    <w:rsid w:val="002606DE"/>
    <w:rsid w:val="00261739"/>
    <w:rsid w:val="00262241"/>
    <w:rsid w:val="00262E5A"/>
    <w:rsid w:val="00262F17"/>
    <w:rsid w:val="00263203"/>
    <w:rsid w:val="002634EC"/>
    <w:rsid w:val="0026361C"/>
    <w:rsid w:val="002638A7"/>
    <w:rsid w:val="00263905"/>
    <w:rsid w:val="00264671"/>
    <w:rsid w:val="00266143"/>
    <w:rsid w:val="00266611"/>
    <w:rsid w:val="00266B8A"/>
    <w:rsid w:val="00267CBC"/>
    <w:rsid w:val="0027086F"/>
    <w:rsid w:val="00270C9A"/>
    <w:rsid w:val="00270F2E"/>
    <w:rsid w:val="00271977"/>
    <w:rsid w:val="00271AC7"/>
    <w:rsid w:val="002721C0"/>
    <w:rsid w:val="00272856"/>
    <w:rsid w:val="00272DC0"/>
    <w:rsid w:val="002731B5"/>
    <w:rsid w:val="002734B3"/>
    <w:rsid w:val="00274396"/>
    <w:rsid w:val="00274A9C"/>
    <w:rsid w:val="002764E4"/>
    <w:rsid w:val="00276820"/>
    <w:rsid w:val="002768E5"/>
    <w:rsid w:val="00276A8C"/>
    <w:rsid w:val="002772AF"/>
    <w:rsid w:val="002774FC"/>
    <w:rsid w:val="0027756A"/>
    <w:rsid w:val="00277C6C"/>
    <w:rsid w:val="002808D1"/>
    <w:rsid w:val="002817F1"/>
    <w:rsid w:val="00281DDE"/>
    <w:rsid w:val="00281F39"/>
    <w:rsid w:val="00282E08"/>
    <w:rsid w:val="0028435C"/>
    <w:rsid w:val="00284EB7"/>
    <w:rsid w:val="00285BA2"/>
    <w:rsid w:val="002865B3"/>
    <w:rsid w:val="00287665"/>
    <w:rsid w:val="00287805"/>
    <w:rsid w:val="00287A0F"/>
    <w:rsid w:val="00290E0F"/>
    <w:rsid w:val="00291C29"/>
    <w:rsid w:val="00292967"/>
    <w:rsid w:val="00293492"/>
    <w:rsid w:val="00293776"/>
    <w:rsid w:val="0029387E"/>
    <w:rsid w:val="00293AEB"/>
    <w:rsid w:val="00294B7D"/>
    <w:rsid w:val="002958F4"/>
    <w:rsid w:val="00295EEA"/>
    <w:rsid w:val="00296648"/>
    <w:rsid w:val="00296B97"/>
    <w:rsid w:val="00297045"/>
    <w:rsid w:val="00297936"/>
    <w:rsid w:val="00297F83"/>
    <w:rsid w:val="002A0AFF"/>
    <w:rsid w:val="002A0B63"/>
    <w:rsid w:val="002A108C"/>
    <w:rsid w:val="002A16B7"/>
    <w:rsid w:val="002A1743"/>
    <w:rsid w:val="002A1D03"/>
    <w:rsid w:val="002A1E08"/>
    <w:rsid w:val="002A2562"/>
    <w:rsid w:val="002A3483"/>
    <w:rsid w:val="002A5182"/>
    <w:rsid w:val="002A5698"/>
    <w:rsid w:val="002A5B81"/>
    <w:rsid w:val="002A71E0"/>
    <w:rsid w:val="002A7F50"/>
    <w:rsid w:val="002B01E1"/>
    <w:rsid w:val="002B047B"/>
    <w:rsid w:val="002B09F6"/>
    <w:rsid w:val="002B0B30"/>
    <w:rsid w:val="002B1141"/>
    <w:rsid w:val="002B1993"/>
    <w:rsid w:val="002B20D6"/>
    <w:rsid w:val="002B2A5F"/>
    <w:rsid w:val="002B2F54"/>
    <w:rsid w:val="002B308E"/>
    <w:rsid w:val="002B3461"/>
    <w:rsid w:val="002B4749"/>
    <w:rsid w:val="002B47E8"/>
    <w:rsid w:val="002B4899"/>
    <w:rsid w:val="002B4C9F"/>
    <w:rsid w:val="002B5499"/>
    <w:rsid w:val="002B5765"/>
    <w:rsid w:val="002B5B9E"/>
    <w:rsid w:val="002B60AA"/>
    <w:rsid w:val="002B60F6"/>
    <w:rsid w:val="002B6691"/>
    <w:rsid w:val="002B7346"/>
    <w:rsid w:val="002B7699"/>
    <w:rsid w:val="002B79A6"/>
    <w:rsid w:val="002B7A67"/>
    <w:rsid w:val="002B7E22"/>
    <w:rsid w:val="002C07B0"/>
    <w:rsid w:val="002C0BD7"/>
    <w:rsid w:val="002C0C57"/>
    <w:rsid w:val="002C1C57"/>
    <w:rsid w:val="002C1FED"/>
    <w:rsid w:val="002C22E0"/>
    <w:rsid w:val="002C2530"/>
    <w:rsid w:val="002C2545"/>
    <w:rsid w:val="002C25CC"/>
    <w:rsid w:val="002C3E8C"/>
    <w:rsid w:val="002C497F"/>
    <w:rsid w:val="002C4BD6"/>
    <w:rsid w:val="002C4FE4"/>
    <w:rsid w:val="002C53E0"/>
    <w:rsid w:val="002C56E5"/>
    <w:rsid w:val="002C64AB"/>
    <w:rsid w:val="002C68E5"/>
    <w:rsid w:val="002C6978"/>
    <w:rsid w:val="002C6BE9"/>
    <w:rsid w:val="002D019C"/>
    <w:rsid w:val="002D04D7"/>
    <w:rsid w:val="002D0505"/>
    <w:rsid w:val="002D094E"/>
    <w:rsid w:val="002D0E86"/>
    <w:rsid w:val="002D200D"/>
    <w:rsid w:val="002D39C1"/>
    <w:rsid w:val="002D407E"/>
    <w:rsid w:val="002D41B4"/>
    <w:rsid w:val="002D489F"/>
    <w:rsid w:val="002D4D2E"/>
    <w:rsid w:val="002D54AF"/>
    <w:rsid w:val="002D61E3"/>
    <w:rsid w:val="002D62EE"/>
    <w:rsid w:val="002D697E"/>
    <w:rsid w:val="002D6CB3"/>
    <w:rsid w:val="002D7467"/>
    <w:rsid w:val="002D7882"/>
    <w:rsid w:val="002D7CDD"/>
    <w:rsid w:val="002E329B"/>
    <w:rsid w:val="002E32D9"/>
    <w:rsid w:val="002E53AC"/>
    <w:rsid w:val="002E5D14"/>
    <w:rsid w:val="002E6C3B"/>
    <w:rsid w:val="002E7561"/>
    <w:rsid w:val="002F10AA"/>
    <w:rsid w:val="002F124E"/>
    <w:rsid w:val="002F15F4"/>
    <w:rsid w:val="002F2687"/>
    <w:rsid w:val="002F43C7"/>
    <w:rsid w:val="002F628A"/>
    <w:rsid w:val="002F6330"/>
    <w:rsid w:val="002F6AF9"/>
    <w:rsid w:val="002F6FC2"/>
    <w:rsid w:val="002F71ED"/>
    <w:rsid w:val="002F7F63"/>
    <w:rsid w:val="003009C5"/>
    <w:rsid w:val="00300E29"/>
    <w:rsid w:val="00300FB7"/>
    <w:rsid w:val="003015E4"/>
    <w:rsid w:val="003027C1"/>
    <w:rsid w:val="0030376B"/>
    <w:rsid w:val="00303D09"/>
    <w:rsid w:val="003041B5"/>
    <w:rsid w:val="00304445"/>
    <w:rsid w:val="00304D51"/>
    <w:rsid w:val="00304E52"/>
    <w:rsid w:val="003061B6"/>
    <w:rsid w:val="003066AB"/>
    <w:rsid w:val="0030670A"/>
    <w:rsid w:val="00306BFC"/>
    <w:rsid w:val="00306EEA"/>
    <w:rsid w:val="00307076"/>
    <w:rsid w:val="00307114"/>
    <w:rsid w:val="003077A8"/>
    <w:rsid w:val="00307A4B"/>
    <w:rsid w:val="0031046D"/>
    <w:rsid w:val="0031076A"/>
    <w:rsid w:val="00310BA6"/>
    <w:rsid w:val="0031115A"/>
    <w:rsid w:val="00311369"/>
    <w:rsid w:val="00311A8E"/>
    <w:rsid w:val="00311ACA"/>
    <w:rsid w:val="00311CC4"/>
    <w:rsid w:val="003127C4"/>
    <w:rsid w:val="00312B39"/>
    <w:rsid w:val="00314315"/>
    <w:rsid w:val="0031561D"/>
    <w:rsid w:val="00315631"/>
    <w:rsid w:val="00315638"/>
    <w:rsid w:val="0031724D"/>
    <w:rsid w:val="00317394"/>
    <w:rsid w:val="00317461"/>
    <w:rsid w:val="00320452"/>
    <w:rsid w:val="00320A9F"/>
    <w:rsid w:val="00320FAB"/>
    <w:rsid w:val="00322167"/>
    <w:rsid w:val="0032235B"/>
    <w:rsid w:val="00322871"/>
    <w:rsid w:val="0032291E"/>
    <w:rsid w:val="00322AA7"/>
    <w:rsid w:val="0032313A"/>
    <w:rsid w:val="0032365F"/>
    <w:rsid w:val="00324514"/>
    <w:rsid w:val="0032553E"/>
    <w:rsid w:val="00325637"/>
    <w:rsid w:val="003258FA"/>
    <w:rsid w:val="00326711"/>
    <w:rsid w:val="003274E8"/>
    <w:rsid w:val="0032754A"/>
    <w:rsid w:val="003278E4"/>
    <w:rsid w:val="003278EC"/>
    <w:rsid w:val="003308DB"/>
    <w:rsid w:val="00331704"/>
    <w:rsid w:val="00331839"/>
    <w:rsid w:val="003327FD"/>
    <w:rsid w:val="0033288F"/>
    <w:rsid w:val="00332E6A"/>
    <w:rsid w:val="003337D0"/>
    <w:rsid w:val="00334230"/>
    <w:rsid w:val="00334496"/>
    <w:rsid w:val="0033528A"/>
    <w:rsid w:val="003374B1"/>
    <w:rsid w:val="00337CAE"/>
    <w:rsid w:val="003400D8"/>
    <w:rsid w:val="003405A5"/>
    <w:rsid w:val="003413BD"/>
    <w:rsid w:val="003414E5"/>
    <w:rsid w:val="00341504"/>
    <w:rsid w:val="00341662"/>
    <w:rsid w:val="00341AB6"/>
    <w:rsid w:val="00342600"/>
    <w:rsid w:val="0034342F"/>
    <w:rsid w:val="00343F1E"/>
    <w:rsid w:val="00343F26"/>
    <w:rsid w:val="0034426C"/>
    <w:rsid w:val="003445AC"/>
    <w:rsid w:val="00344749"/>
    <w:rsid w:val="00345EE4"/>
    <w:rsid w:val="003471CF"/>
    <w:rsid w:val="0034747B"/>
    <w:rsid w:val="0034764E"/>
    <w:rsid w:val="0034767F"/>
    <w:rsid w:val="00347CFE"/>
    <w:rsid w:val="00351D73"/>
    <w:rsid w:val="00352379"/>
    <w:rsid w:val="00352C98"/>
    <w:rsid w:val="00352D83"/>
    <w:rsid w:val="00352E9C"/>
    <w:rsid w:val="00353A69"/>
    <w:rsid w:val="00353DA7"/>
    <w:rsid w:val="00353EF4"/>
    <w:rsid w:val="00354026"/>
    <w:rsid w:val="00354614"/>
    <w:rsid w:val="0035527F"/>
    <w:rsid w:val="003552D4"/>
    <w:rsid w:val="00355412"/>
    <w:rsid w:val="003558B7"/>
    <w:rsid w:val="00356330"/>
    <w:rsid w:val="00356445"/>
    <w:rsid w:val="00356B93"/>
    <w:rsid w:val="00360B55"/>
    <w:rsid w:val="0036116B"/>
    <w:rsid w:val="00361F2E"/>
    <w:rsid w:val="003628F2"/>
    <w:rsid w:val="003640D6"/>
    <w:rsid w:val="0036419A"/>
    <w:rsid w:val="0036433B"/>
    <w:rsid w:val="00364A82"/>
    <w:rsid w:val="00365066"/>
    <w:rsid w:val="003658EA"/>
    <w:rsid w:val="00366CCE"/>
    <w:rsid w:val="003671E4"/>
    <w:rsid w:val="00370317"/>
    <w:rsid w:val="003705B9"/>
    <w:rsid w:val="0037060D"/>
    <w:rsid w:val="00370801"/>
    <w:rsid w:val="00370BB5"/>
    <w:rsid w:val="003719AE"/>
    <w:rsid w:val="00371A6F"/>
    <w:rsid w:val="00372166"/>
    <w:rsid w:val="00372453"/>
    <w:rsid w:val="00372549"/>
    <w:rsid w:val="003734DA"/>
    <w:rsid w:val="0037439C"/>
    <w:rsid w:val="00375170"/>
    <w:rsid w:val="003766D3"/>
    <w:rsid w:val="00376830"/>
    <w:rsid w:val="00376C4E"/>
    <w:rsid w:val="00381345"/>
    <w:rsid w:val="0038137F"/>
    <w:rsid w:val="00381A52"/>
    <w:rsid w:val="00383625"/>
    <w:rsid w:val="003839F8"/>
    <w:rsid w:val="00383B79"/>
    <w:rsid w:val="00384012"/>
    <w:rsid w:val="00384B44"/>
    <w:rsid w:val="003850B2"/>
    <w:rsid w:val="00385821"/>
    <w:rsid w:val="00385986"/>
    <w:rsid w:val="00385B9B"/>
    <w:rsid w:val="00386457"/>
    <w:rsid w:val="00386D98"/>
    <w:rsid w:val="00386DCE"/>
    <w:rsid w:val="00387C5D"/>
    <w:rsid w:val="003908BB"/>
    <w:rsid w:val="00391930"/>
    <w:rsid w:val="003921C2"/>
    <w:rsid w:val="00393AAB"/>
    <w:rsid w:val="00393C47"/>
    <w:rsid w:val="00393EA8"/>
    <w:rsid w:val="003943A0"/>
    <w:rsid w:val="00394938"/>
    <w:rsid w:val="0039499C"/>
    <w:rsid w:val="00395636"/>
    <w:rsid w:val="003956FA"/>
    <w:rsid w:val="00395C9B"/>
    <w:rsid w:val="00396553"/>
    <w:rsid w:val="0039745F"/>
    <w:rsid w:val="003A0E63"/>
    <w:rsid w:val="003A1C48"/>
    <w:rsid w:val="003A26D7"/>
    <w:rsid w:val="003A4BCF"/>
    <w:rsid w:val="003A5673"/>
    <w:rsid w:val="003A5D17"/>
    <w:rsid w:val="003A6B9E"/>
    <w:rsid w:val="003A6FBD"/>
    <w:rsid w:val="003B10A9"/>
    <w:rsid w:val="003B10F3"/>
    <w:rsid w:val="003B1131"/>
    <w:rsid w:val="003B1931"/>
    <w:rsid w:val="003B1ABA"/>
    <w:rsid w:val="003B1D8F"/>
    <w:rsid w:val="003B2B23"/>
    <w:rsid w:val="003B3191"/>
    <w:rsid w:val="003B367D"/>
    <w:rsid w:val="003B36B1"/>
    <w:rsid w:val="003B3987"/>
    <w:rsid w:val="003B3BB6"/>
    <w:rsid w:val="003B3D5E"/>
    <w:rsid w:val="003B525E"/>
    <w:rsid w:val="003B7AD4"/>
    <w:rsid w:val="003B7AF5"/>
    <w:rsid w:val="003B7BE4"/>
    <w:rsid w:val="003C015D"/>
    <w:rsid w:val="003C14DB"/>
    <w:rsid w:val="003C14FB"/>
    <w:rsid w:val="003C1A0A"/>
    <w:rsid w:val="003C1B30"/>
    <w:rsid w:val="003C390F"/>
    <w:rsid w:val="003C3DD9"/>
    <w:rsid w:val="003C3F95"/>
    <w:rsid w:val="003C4512"/>
    <w:rsid w:val="003C45F2"/>
    <w:rsid w:val="003C4A80"/>
    <w:rsid w:val="003C4D6A"/>
    <w:rsid w:val="003C552C"/>
    <w:rsid w:val="003C5711"/>
    <w:rsid w:val="003C685E"/>
    <w:rsid w:val="003C6AC0"/>
    <w:rsid w:val="003C6C6F"/>
    <w:rsid w:val="003C701C"/>
    <w:rsid w:val="003C79C8"/>
    <w:rsid w:val="003D0264"/>
    <w:rsid w:val="003D1280"/>
    <w:rsid w:val="003D130E"/>
    <w:rsid w:val="003D19E4"/>
    <w:rsid w:val="003D1EEA"/>
    <w:rsid w:val="003D2323"/>
    <w:rsid w:val="003D28CA"/>
    <w:rsid w:val="003D2B98"/>
    <w:rsid w:val="003D3214"/>
    <w:rsid w:val="003D36ED"/>
    <w:rsid w:val="003D4076"/>
    <w:rsid w:val="003D40AD"/>
    <w:rsid w:val="003D4742"/>
    <w:rsid w:val="003D4951"/>
    <w:rsid w:val="003D4B5B"/>
    <w:rsid w:val="003D4F33"/>
    <w:rsid w:val="003D51C7"/>
    <w:rsid w:val="003D53C6"/>
    <w:rsid w:val="003D55A8"/>
    <w:rsid w:val="003D5D0B"/>
    <w:rsid w:val="003D5D44"/>
    <w:rsid w:val="003D6117"/>
    <w:rsid w:val="003D6E5D"/>
    <w:rsid w:val="003D7681"/>
    <w:rsid w:val="003E12B6"/>
    <w:rsid w:val="003E17D1"/>
    <w:rsid w:val="003E1C02"/>
    <w:rsid w:val="003E2128"/>
    <w:rsid w:val="003E2D89"/>
    <w:rsid w:val="003E3346"/>
    <w:rsid w:val="003E345E"/>
    <w:rsid w:val="003E3475"/>
    <w:rsid w:val="003E443C"/>
    <w:rsid w:val="003E4E43"/>
    <w:rsid w:val="003E52F3"/>
    <w:rsid w:val="003E58D7"/>
    <w:rsid w:val="003E59B0"/>
    <w:rsid w:val="003E6DB8"/>
    <w:rsid w:val="003E7306"/>
    <w:rsid w:val="003E759C"/>
    <w:rsid w:val="003E7A3D"/>
    <w:rsid w:val="003E7AFF"/>
    <w:rsid w:val="003E7B04"/>
    <w:rsid w:val="003E7EF9"/>
    <w:rsid w:val="003F0235"/>
    <w:rsid w:val="003F0F29"/>
    <w:rsid w:val="003F1CBD"/>
    <w:rsid w:val="003F3208"/>
    <w:rsid w:val="003F36C7"/>
    <w:rsid w:val="003F3B05"/>
    <w:rsid w:val="003F465D"/>
    <w:rsid w:val="003F478E"/>
    <w:rsid w:val="003F501C"/>
    <w:rsid w:val="003F5112"/>
    <w:rsid w:val="003F5275"/>
    <w:rsid w:val="003F57A7"/>
    <w:rsid w:val="003F5A5E"/>
    <w:rsid w:val="003F5D9C"/>
    <w:rsid w:val="003F6323"/>
    <w:rsid w:val="003F64B8"/>
    <w:rsid w:val="003F6FFD"/>
    <w:rsid w:val="003F710C"/>
    <w:rsid w:val="003F780F"/>
    <w:rsid w:val="00401641"/>
    <w:rsid w:val="0040207A"/>
    <w:rsid w:val="00402B00"/>
    <w:rsid w:val="00402C3D"/>
    <w:rsid w:val="00403008"/>
    <w:rsid w:val="0040350B"/>
    <w:rsid w:val="00403687"/>
    <w:rsid w:val="00403688"/>
    <w:rsid w:val="00404CA7"/>
    <w:rsid w:val="00404D3E"/>
    <w:rsid w:val="0040574C"/>
    <w:rsid w:val="004057E5"/>
    <w:rsid w:val="004058A8"/>
    <w:rsid w:val="004061B0"/>
    <w:rsid w:val="004068AC"/>
    <w:rsid w:val="004071A9"/>
    <w:rsid w:val="004072F0"/>
    <w:rsid w:val="004074A1"/>
    <w:rsid w:val="00407FCC"/>
    <w:rsid w:val="004108DE"/>
    <w:rsid w:val="004111F5"/>
    <w:rsid w:val="00411209"/>
    <w:rsid w:val="00411900"/>
    <w:rsid w:val="004119AE"/>
    <w:rsid w:val="00412766"/>
    <w:rsid w:val="004132FF"/>
    <w:rsid w:val="00413F17"/>
    <w:rsid w:val="004149B0"/>
    <w:rsid w:val="00414B05"/>
    <w:rsid w:val="00414DC2"/>
    <w:rsid w:val="00415A80"/>
    <w:rsid w:val="004166ED"/>
    <w:rsid w:val="00416BBB"/>
    <w:rsid w:val="004174CD"/>
    <w:rsid w:val="004209E3"/>
    <w:rsid w:val="00420B13"/>
    <w:rsid w:val="0042179A"/>
    <w:rsid w:val="00421B4F"/>
    <w:rsid w:val="00422543"/>
    <w:rsid w:val="00422BC7"/>
    <w:rsid w:val="00422EA2"/>
    <w:rsid w:val="00424816"/>
    <w:rsid w:val="00424D92"/>
    <w:rsid w:val="00425CCE"/>
    <w:rsid w:val="00426231"/>
    <w:rsid w:val="004262E5"/>
    <w:rsid w:val="00426FC3"/>
    <w:rsid w:val="00427E76"/>
    <w:rsid w:val="0043013E"/>
    <w:rsid w:val="00431273"/>
    <w:rsid w:val="00431FE2"/>
    <w:rsid w:val="004335DA"/>
    <w:rsid w:val="0043418D"/>
    <w:rsid w:val="004342F1"/>
    <w:rsid w:val="004344AC"/>
    <w:rsid w:val="0043499F"/>
    <w:rsid w:val="0043566B"/>
    <w:rsid w:val="00436FB9"/>
    <w:rsid w:val="00440068"/>
    <w:rsid w:val="00440161"/>
    <w:rsid w:val="00441FA1"/>
    <w:rsid w:val="004442AF"/>
    <w:rsid w:val="00444A5C"/>
    <w:rsid w:val="00445172"/>
    <w:rsid w:val="00445184"/>
    <w:rsid w:val="004452DA"/>
    <w:rsid w:val="00446C24"/>
    <w:rsid w:val="00447232"/>
    <w:rsid w:val="0044D030"/>
    <w:rsid w:val="00451F44"/>
    <w:rsid w:val="0045254C"/>
    <w:rsid w:val="004526E1"/>
    <w:rsid w:val="00452803"/>
    <w:rsid w:val="00452F9F"/>
    <w:rsid w:val="0045382E"/>
    <w:rsid w:val="0045384F"/>
    <w:rsid w:val="00453D0E"/>
    <w:rsid w:val="00453DF2"/>
    <w:rsid w:val="004540F1"/>
    <w:rsid w:val="0045423D"/>
    <w:rsid w:val="00454F16"/>
    <w:rsid w:val="004553FE"/>
    <w:rsid w:val="004556F7"/>
    <w:rsid w:val="00455BAA"/>
    <w:rsid w:val="0045604D"/>
    <w:rsid w:val="004565CF"/>
    <w:rsid w:val="00456BF6"/>
    <w:rsid w:val="00457769"/>
    <w:rsid w:val="004603D2"/>
    <w:rsid w:val="004609EE"/>
    <w:rsid w:val="00460C03"/>
    <w:rsid w:val="00461BBA"/>
    <w:rsid w:val="00462113"/>
    <w:rsid w:val="00462302"/>
    <w:rsid w:val="00463BA2"/>
    <w:rsid w:val="00463C34"/>
    <w:rsid w:val="00463C61"/>
    <w:rsid w:val="00463D5D"/>
    <w:rsid w:val="00464AE0"/>
    <w:rsid w:val="004652DE"/>
    <w:rsid w:val="00465641"/>
    <w:rsid w:val="00465655"/>
    <w:rsid w:val="004657F7"/>
    <w:rsid w:val="00466AEF"/>
    <w:rsid w:val="0046759B"/>
    <w:rsid w:val="004675AF"/>
    <w:rsid w:val="00467612"/>
    <w:rsid w:val="00467951"/>
    <w:rsid w:val="00467A42"/>
    <w:rsid w:val="00467CD7"/>
    <w:rsid w:val="0047131D"/>
    <w:rsid w:val="00471802"/>
    <w:rsid w:val="0047196E"/>
    <w:rsid w:val="00472B33"/>
    <w:rsid w:val="0047311B"/>
    <w:rsid w:val="0047369B"/>
    <w:rsid w:val="004739F9"/>
    <w:rsid w:val="00473F18"/>
    <w:rsid w:val="004761DD"/>
    <w:rsid w:val="004772E4"/>
    <w:rsid w:val="0047776B"/>
    <w:rsid w:val="00477772"/>
    <w:rsid w:val="00477923"/>
    <w:rsid w:val="00480A72"/>
    <w:rsid w:val="004816FA"/>
    <w:rsid w:val="0048172A"/>
    <w:rsid w:val="00481B55"/>
    <w:rsid w:val="00481F9B"/>
    <w:rsid w:val="004823BF"/>
    <w:rsid w:val="00482564"/>
    <w:rsid w:val="00483F3A"/>
    <w:rsid w:val="004840F7"/>
    <w:rsid w:val="00485733"/>
    <w:rsid w:val="00485B30"/>
    <w:rsid w:val="00486547"/>
    <w:rsid w:val="00486954"/>
    <w:rsid w:val="00486C1C"/>
    <w:rsid w:val="00487478"/>
    <w:rsid w:val="0049095E"/>
    <w:rsid w:val="0049098A"/>
    <w:rsid w:val="0049168C"/>
    <w:rsid w:val="00491926"/>
    <w:rsid w:val="00492337"/>
    <w:rsid w:val="00492DF7"/>
    <w:rsid w:val="004930E4"/>
    <w:rsid w:val="00493759"/>
    <w:rsid w:val="00493FB2"/>
    <w:rsid w:val="004946AA"/>
    <w:rsid w:val="00495930"/>
    <w:rsid w:val="00495A45"/>
    <w:rsid w:val="00496364"/>
    <w:rsid w:val="00496AC0"/>
    <w:rsid w:val="004973CC"/>
    <w:rsid w:val="004A0507"/>
    <w:rsid w:val="004A14BD"/>
    <w:rsid w:val="004A15BF"/>
    <w:rsid w:val="004A1B93"/>
    <w:rsid w:val="004A238C"/>
    <w:rsid w:val="004A2A73"/>
    <w:rsid w:val="004A2D72"/>
    <w:rsid w:val="004A3B7B"/>
    <w:rsid w:val="004A3C74"/>
    <w:rsid w:val="004A40A9"/>
    <w:rsid w:val="004A44FB"/>
    <w:rsid w:val="004A4BEA"/>
    <w:rsid w:val="004A53C5"/>
    <w:rsid w:val="004A5D98"/>
    <w:rsid w:val="004A5E91"/>
    <w:rsid w:val="004A5EF7"/>
    <w:rsid w:val="004A6C5D"/>
    <w:rsid w:val="004A72AD"/>
    <w:rsid w:val="004A79B3"/>
    <w:rsid w:val="004A7D9D"/>
    <w:rsid w:val="004A7EC5"/>
    <w:rsid w:val="004B008C"/>
    <w:rsid w:val="004B2B8C"/>
    <w:rsid w:val="004B2CEB"/>
    <w:rsid w:val="004B3D84"/>
    <w:rsid w:val="004B4E6E"/>
    <w:rsid w:val="004B55CA"/>
    <w:rsid w:val="004B5B80"/>
    <w:rsid w:val="004B65A9"/>
    <w:rsid w:val="004B6DA5"/>
    <w:rsid w:val="004B6FF3"/>
    <w:rsid w:val="004B71CC"/>
    <w:rsid w:val="004B71FA"/>
    <w:rsid w:val="004B76E3"/>
    <w:rsid w:val="004B7DA4"/>
    <w:rsid w:val="004B7EC1"/>
    <w:rsid w:val="004B7F22"/>
    <w:rsid w:val="004C02D0"/>
    <w:rsid w:val="004C0447"/>
    <w:rsid w:val="004C096F"/>
    <w:rsid w:val="004C0B9D"/>
    <w:rsid w:val="004C0EA0"/>
    <w:rsid w:val="004C1052"/>
    <w:rsid w:val="004C1749"/>
    <w:rsid w:val="004C1F8A"/>
    <w:rsid w:val="004C2BB3"/>
    <w:rsid w:val="004C32FA"/>
    <w:rsid w:val="004C34D8"/>
    <w:rsid w:val="004C4370"/>
    <w:rsid w:val="004C437A"/>
    <w:rsid w:val="004C440E"/>
    <w:rsid w:val="004C524F"/>
    <w:rsid w:val="004C65BF"/>
    <w:rsid w:val="004C692B"/>
    <w:rsid w:val="004C69B8"/>
    <w:rsid w:val="004C714C"/>
    <w:rsid w:val="004C7F54"/>
    <w:rsid w:val="004D009F"/>
    <w:rsid w:val="004D08B5"/>
    <w:rsid w:val="004D1376"/>
    <w:rsid w:val="004D1634"/>
    <w:rsid w:val="004D3BFF"/>
    <w:rsid w:val="004D487A"/>
    <w:rsid w:val="004D5E10"/>
    <w:rsid w:val="004D62E1"/>
    <w:rsid w:val="004D7946"/>
    <w:rsid w:val="004D7FE9"/>
    <w:rsid w:val="004E06AF"/>
    <w:rsid w:val="004E155C"/>
    <w:rsid w:val="004E16A0"/>
    <w:rsid w:val="004E197A"/>
    <w:rsid w:val="004E1B92"/>
    <w:rsid w:val="004E1D9C"/>
    <w:rsid w:val="004E1F4F"/>
    <w:rsid w:val="004E2C48"/>
    <w:rsid w:val="004E307F"/>
    <w:rsid w:val="004E3091"/>
    <w:rsid w:val="004E3C9F"/>
    <w:rsid w:val="004E68CE"/>
    <w:rsid w:val="004E69F4"/>
    <w:rsid w:val="004E6A4E"/>
    <w:rsid w:val="004E6D54"/>
    <w:rsid w:val="004E7F14"/>
    <w:rsid w:val="004F05CF"/>
    <w:rsid w:val="004F0E36"/>
    <w:rsid w:val="004F195D"/>
    <w:rsid w:val="004F1AEB"/>
    <w:rsid w:val="004F22BF"/>
    <w:rsid w:val="004F2795"/>
    <w:rsid w:val="004F2A76"/>
    <w:rsid w:val="004F2D19"/>
    <w:rsid w:val="004F3F43"/>
    <w:rsid w:val="004F466F"/>
    <w:rsid w:val="004F6683"/>
    <w:rsid w:val="004F6FF5"/>
    <w:rsid w:val="004F71D9"/>
    <w:rsid w:val="004F73B1"/>
    <w:rsid w:val="0050139C"/>
    <w:rsid w:val="00501BD5"/>
    <w:rsid w:val="00502660"/>
    <w:rsid w:val="00503A34"/>
    <w:rsid w:val="00503B47"/>
    <w:rsid w:val="00504260"/>
    <w:rsid w:val="00505186"/>
    <w:rsid w:val="0050519B"/>
    <w:rsid w:val="00505D6F"/>
    <w:rsid w:val="00505E93"/>
    <w:rsid w:val="005064D9"/>
    <w:rsid w:val="00506775"/>
    <w:rsid w:val="00506D86"/>
    <w:rsid w:val="00506F09"/>
    <w:rsid w:val="005074D5"/>
    <w:rsid w:val="005076AC"/>
    <w:rsid w:val="005077F7"/>
    <w:rsid w:val="00507824"/>
    <w:rsid w:val="00511494"/>
    <w:rsid w:val="0051199A"/>
    <w:rsid w:val="00511A2D"/>
    <w:rsid w:val="00512B65"/>
    <w:rsid w:val="00512BE6"/>
    <w:rsid w:val="00513EB0"/>
    <w:rsid w:val="0051484E"/>
    <w:rsid w:val="0051523C"/>
    <w:rsid w:val="00515416"/>
    <w:rsid w:val="0051593D"/>
    <w:rsid w:val="00515A5D"/>
    <w:rsid w:val="00515D64"/>
    <w:rsid w:val="00516CB8"/>
    <w:rsid w:val="0051702B"/>
    <w:rsid w:val="005171A2"/>
    <w:rsid w:val="005171C1"/>
    <w:rsid w:val="00517559"/>
    <w:rsid w:val="005205B3"/>
    <w:rsid w:val="00521819"/>
    <w:rsid w:val="00521E31"/>
    <w:rsid w:val="00522B63"/>
    <w:rsid w:val="00523EDD"/>
    <w:rsid w:val="0052460A"/>
    <w:rsid w:val="00524A37"/>
    <w:rsid w:val="00525A90"/>
    <w:rsid w:val="00525CCF"/>
    <w:rsid w:val="00527BED"/>
    <w:rsid w:val="00530026"/>
    <w:rsid w:val="005314BD"/>
    <w:rsid w:val="0053158E"/>
    <w:rsid w:val="00531741"/>
    <w:rsid w:val="00532861"/>
    <w:rsid w:val="00533B35"/>
    <w:rsid w:val="00533C84"/>
    <w:rsid w:val="005343F0"/>
    <w:rsid w:val="00534906"/>
    <w:rsid w:val="00534AF2"/>
    <w:rsid w:val="005350F7"/>
    <w:rsid w:val="00535308"/>
    <w:rsid w:val="00535443"/>
    <w:rsid w:val="0053576B"/>
    <w:rsid w:val="005366C4"/>
    <w:rsid w:val="00536DA4"/>
    <w:rsid w:val="00537135"/>
    <w:rsid w:val="005372D0"/>
    <w:rsid w:val="00537469"/>
    <w:rsid w:val="00537619"/>
    <w:rsid w:val="005405E8"/>
    <w:rsid w:val="00541030"/>
    <w:rsid w:val="005429A1"/>
    <w:rsid w:val="00542D70"/>
    <w:rsid w:val="005434E2"/>
    <w:rsid w:val="005436BA"/>
    <w:rsid w:val="00544881"/>
    <w:rsid w:val="005449FD"/>
    <w:rsid w:val="00546023"/>
    <w:rsid w:val="0054648D"/>
    <w:rsid w:val="00546B6C"/>
    <w:rsid w:val="00546F26"/>
    <w:rsid w:val="00547446"/>
    <w:rsid w:val="005475B4"/>
    <w:rsid w:val="00550106"/>
    <w:rsid w:val="00550617"/>
    <w:rsid w:val="0055160A"/>
    <w:rsid w:val="00552057"/>
    <w:rsid w:val="00552134"/>
    <w:rsid w:val="005529A2"/>
    <w:rsid w:val="00552AC6"/>
    <w:rsid w:val="00552ADF"/>
    <w:rsid w:val="00552F77"/>
    <w:rsid w:val="005546AC"/>
    <w:rsid w:val="005546B3"/>
    <w:rsid w:val="00555422"/>
    <w:rsid w:val="0055566D"/>
    <w:rsid w:val="005559D5"/>
    <w:rsid w:val="00556441"/>
    <w:rsid w:val="005604CB"/>
    <w:rsid w:val="005607E5"/>
    <w:rsid w:val="00560F48"/>
    <w:rsid w:val="00561544"/>
    <w:rsid w:val="00561D84"/>
    <w:rsid w:val="005624D4"/>
    <w:rsid w:val="00562519"/>
    <w:rsid w:val="00562633"/>
    <w:rsid w:val="00562DCD"/>
    <w:rsid w:val="005631BF"/>
    <w:rsid w:val="005633CD"/>
    <w:rsid w:val="0056432A"/>
    <w:rsid w:val="0056484A"/>
    <w:rsid w:val="00564900"/>
    <w:rsid w:val="00564D2D"/>
    <w:rsid w:val="005654EE"/>
    <w:rsid w:val="0056553D"/>
    <w:rsid w:val="005655FA"/>
    <w:rsid w:val="0056580F"/>
    <w:rsid w:val="00565F17"/>
    <w:rsid w:val="0056648D"/>
    <w:rsid w:val="00566BFC"/>
    <w:rsid w:val="00567787"/>
    <w:rsid w:val="00567AB1"/>
    <w:rsid w:val="0057018A"/>
    <w:rsid w:val="00570429"/>
    <w:rsid w:val="005715A3"/>
    <w:rsid w:val="00571C82"/>
    <w:rsid w:val="00572A3E"/>
    <w:rsid w:val="00572EBF"/>
    <w:rsid w:val="00573599"/>
    <w:rsid w:val="0057374A"/>
    <w:rsid w:val="00574191"/>
    <w:rsid w:val="005749A1"/>
    <w:rsid w:val="00574EFF"/>
    <w:rsid w:val="005753B1"/>
    <w:rsid w:val="005753DE"/>
    <w:rsid w:val="005757B2"/>
    <w:rsid w:val="00576D9F"/>
    <w:rsid w:val="005775B9"/>
    <w:rsid w:val="00577FF1"/>
    <w:rsid w:val="005800AE"/>
    <w:rsid w:val="005808AE"/>
    <w:rsid w:val="00580938"/>
    <w:rsid w:val="00580E8A"/>
    <w:rsid w:val="005826C0"/>
    <w:rsid w:val="00582D92"/>
    <w:rsid w:val="00582ED3"/>
    <w:rsid w:val="005832C8"/>
    <w:rsid w:val="00583947"/>
    <w:rsid w:val="0058417F"/>
    <w:rsid w:val="005850FF"/>
    <w:rsid w:val="0058541F"/>
    <w:rsid w:val="00585FA8"/>
    <w:rsid w:val="005862C8"/>
    <w:rsid w:val="005866EB"/>
    <w:rsid w:val="00587665"/>
    <w:rsid w:val="00587683"/>
    <w:rsid w:val="00590559"/>
    <w:rsid w:val="00590E81"/>
    <w:rsid w:val="00590F59"/>
    <w:rsid w:val="005910F6"/>
    <w:rsid w:val="00591184"/>
    <w:rsid w:val="0059255C"/>
    <w:rsid w:val="00592641"/>
    <w:rsid w:val="00592787"/>
    <w:rsid w:val="00592AB2"/>
    <w:rsid w:val="00592AD9"/>
    <w:rsid w:val="005930C6"/>
    <w:rsid w:val="00593BBA"/>
    <w:rsid w:val="0059406C"/>
    <w:rsid w:val="00594A35"/>
    <w:rsid w:val="00595458"/>
    <w:rsid w:val="00595DA8"/>
    <w:rsid w:val="0059635D"/>
    <w:rsid w:val="005967FA"/>
    <w:rsid w:val="00596A4B"/>
    <w:rsid w:val="00596BE9"/>
    <w:rsid w:val="005972DC"/>
    <w:rsid w:val="005A2569"/>
    <w:rsid w:val="005A265A"/>
    <w:rsid w:val="005A2EB9"/>
    <w:rsid w:val="005A32B1"/>
    <w:rsid w:val="005A4619"/>
    <w:rsid w:val="005A4F42"/>
    <w:rsid w:val="005A51DC"/>
    <w:rsid w:val="005A56CE"/>
    <w:rsid w:val="005A6260"/>
    <w:rsid w:val="005A64D3"/>
    <w:rsid w:val="005A68CC"/>
    <w:rsid w:val="005A76A3"/>
    <w:rsid w:val="005A795F"/>
    <w:rsid w:val="005A7D24"/>
    <w:rsid w:val="005B066D"/>
    <w:rsid w:val="005B1779"/>
    <w:rsid w:val="005B255F"/>
    <w:rsid w:val="005B2CE2"/>
    <w:rsid w:val="005B2D73"/>
    <w:rsid w:val="005B3324"/>
    <w:rsid w:val="005B519E"/>
    <w:rsid w:val="005B7379"/>
    <w:rsid w:val="005B749F"/>
    <w:rsid w:val="005C013C"/>
    <w:rsid w:val="005C0538"/>
    <w:rsid w:val="005C07EA"/>
    <w:rsid w:val="005C0F10"/>
    <w:rsid w:val="005C0F7A"/>
    <w:rsid w:val="005C1D5F"/>
    <w:rsid w:val="005C1FBF"/>
    <w:rsid w:val="005C2750"/>
    <w:rsid w:val="005C2789"/>
    <w:rsid w:val="005C2ABF"/>
    <w:rsid w:val="005C34E8"/>
    <w:rsid w:val="005C4662"/>
    <w:rsid w:val="005C4728"/>
    <w:rsid w:val="005C53B0"/>
    <w:rsid w:val="005C5755"/>
    <w:rsid w:val="005C663A"/>
    <w:rsid w:val="005C6974"/>
    <w:rsid w:val="005C760D"/>
    <w:rsid w:val="005D1275"/>
    <w:rsid w:val="005D1F2F"/>
    <w:rsid w:val="005D22CF"/>
    <w:rsid w:val="005D29F7"/>
    <w:rsid w:val="005D33A3"/>
    <w:rsid w:val="005D34E7"/>
    <w:rsid w:val="005D366C"/>
    <w:rsid w:val="005D3D47"/>
    <w:rsid w:val="005D46F5"/>
    <w:rsid w:val="005D7833"/>
    <w:rsid w:val="005D7CAE"/>
    <w:rsid w:val="005E0018"/>
    <w:rsid w:val="005E0B30"/>
    <w:rsid w:val="005E0D32"/>
    <w:rsid w:val="005E0E7C"/>
    <w:rsid w:val="005E116E"/>
    <w:rsid w:val="005E1358"/>
    <w:rsid w:val="005E22ED"/>
    <w:rsid w:val="005E2477"/>
    <w:rsid w:val="005E2C91"/>
    <w:rsid w:val="005E32ED"/>
    <w:rsid w:val="005E3A0B"/>
    <w:rsid w:val="005E3B58"/>
    <w:rsid w:val="005E3D46"/>
    <w:rsid w:val="005E3D88"/>
    <w:rsid w:val="005E4234"/>
    <w:rsid w:val="005E46D3"/>
    <w:rsid w:val="005E52DE"/>
    <w:rsid w:val="005E56C7"/>
    <w:rsid w:val="005E5B2F"/>
    <w:rsid w:val="005E7C29"/>
    <w:rsid w:val="005E7E58"/>
    <w:rsid w:val="005F0C01"/>
    <w:rsid w:val="005F0CE2"/>
    <w:rsid w:val="005F16E8"/>
    <w:rsid w:val="005F1EE3"/>
    <w:rsid w:val="005F1F20"/>
    <w:rsid w:val="005F2565"/>
    <w:rsid w:val="005F4D10"/>
    <w:rsid w:val="005F553F"/>
    <w:rsid w:val="005F5688"/>
    <w:rsid w:val="005F5A1A"/>
    <w:rsid w:val="005F6972"/>
    <w:rsid w:val="005F6A20"/>
    <w:rsid w:val="005F6CAA"/>
    <w:rsid w:val="005F732E"/>
    <w:rsid w:val="005F736C"/>
    <w:rsid w:val="005F7758"/>
    <w:rsid w:val="005F7C99"/>
    <w:rsid w:val="006000C1"/>
    <w:rsid w:val="00600146"/>
    <w:rsid w:val="006002DD"/>
    <w:rsid w:val="00601093"/>
    <w:rsid w:val="0060119D"/>
    <w:rsid w:val="006016DD"/>
    <w:rsid w:val="0060193E"/>
    <w:rsid w:val="00601958"/>
    <w:rsid w:val="006022C0"/>
    <w:rsid w:val="006023E9"/>
    <w:rsid w:val="006024E1"/>
    <w:rsid w:val="00602B63"/>
    <w:rsid w:val="006030EB"/>
    <w:rsid w:val="00604839"/>
    <w:rsid w:val="00604965"/>
    <w:rsid w:val="00605C40"/>
    <w:rsid w:val="0060673A"/>
    <w:rsid w:val="00606B81"/>
    <w:rsid w:val="0060701F"/>
    <w:rsid w:val="006073F1"/>
    <w:rsid w:val="00607813"/>
    <w:rsid w:val="00607D27"/>
    <w:rsid w:val="00607F68"/>
    <w:rsid w:val="00610190"/>
    <w:rsid w:val="006104CB"/>
    <w:rsid w:val="006111CD"/>
    <w:rsid w:val="00612396"/>
    <w:rsid w:val="006129D9"/>
    <w:rsid w:val="006135E9"/>
    <w:rsid w:val="006139F2"/>
    <w:rsid w:val="006143CC"/>
    <w:rsid w:val="0061566D"/>
    <w:rsid w:val="006159BA"/>
    <w:rsid w:val="00615DF6"/>
    <w:rsid w:val="00616003"/>
    <w:rsid w:val="0061691D"/>
    <w:rsid w:val="00616EAE"/>
    <w:rsid w:val="00617F3E"/>
    <w:rsid w:val="0062029B"/>
    <w:rsid w:val="006207FC"/>
    <w:rsid w:val="00620FB5"/>
    <w:rsid w:val="006210D9"/>
    <w:rsid w:val="0062160D"/>
    <w:rsid w:val="00621A31"/>
    <w:rsid w:val="00621FF8"/>
    <w:rsid w:val="006235D0"/>
    <w:rsid w:val="00623D32"/>
    <w:rsid w:val="00624900"/>
    <w:rsid w:val="00624B8A"/>
    <w:rsid w:val="00624C72"/>
    <w:rsid w:val="006254E8"/>
    <w:rsid w:val="006257E3"/>
    <w:rsid w:val="006262A9"/>
    <w:rsid w:val="00627204"/>
    <w:rsid w:val="00627F94"/>
    <w:rsid w:val="00631E82"/>
    <w:rsid w:val="00632025"/>
    <w:rsid w:val="0063231D"/>
    <w:rsid w:val="00632532"/>
    <w:rsid w:val="00632720"/>
    <w:rsid w:val="00632CE9"/>
    <w:rsid w:val="00632D10"/>
    <w:rsid w:val="00632F55"/>
    <w:rsid w:val="00633251"/>
    <w:rsid w:val="00633B54"/>
    <w:rsid w:val="00633CC0"/>
    <w:rsid w:val="00633ED7"/>
    <w:rsid w:val="00634307"/>
    <w:rsid w:val="00634AF8"/>
    <w:rsid w:val="00634C26"/>
    <w:rsid w:val="00634CF7"/>
    <w:rsid w:val="00635000"/>
    <w:rsid w:val="006357E3"/>
    <w:rsid w:val="0063588F"/>
    <w:rsid w:val="00636142"/>
    <w:rsid w:val="0063651E"/>
    <w:rsid w:val="006366AA"/>
    <w:rsid w:val="00636A54"/>
    <w:rsid w:val="006370B8"/>
    <w:rsid w:val="006371BB"/>
    <w:rsid w:val="00637549"/>
    <w:rsid w:val="0064032E"/>
    <w:rsid w:val="00640810"/>
    <w:rsid w:val="00640AFE"/>
    <w:rsid w:val="006413DF"/>
    <w:rsid w:val="00641B30"/>
    <w:rsid w:val="0064235D"/>
    <w:rsid w:val="0064248E"/>
    <w:rsid w:val="006429E1"/>
    <w:rsid w:val="00642CDC"/>
    <w:rsid w:val="00643336"/>
    <w:rsid w:val="006437A3"/>
    <w:rsid w:val="00644BDE"/>
    <w:rsid w:val="00645328"/>
    <w:rsid w:val="006459B0"/>
    <w:rsid w:val="00645A28"/>
    <w:rsid w:val="00645DE9"/>
    <w:rsid w:val="00646712"/>
    <w:rsid w:val="0064709E"/>
    <w:rsid w:val="006474B0"/>
    <w:rsid w:val="00647731"/>
    <w:rsid w:val="00647DF6"/>
    <w:rsid w:val="00650216"/>
    <w:rsid w:val="00650268"/>
    <w:rsid w:val="00650519"/>
    <w:rsid w:val="00650964"/>
    <w:rsid w:val="00651544"/>
    <w:rsid w:val="00651E33"/>
    <w:rsid w:val="00651ECB"/>
    <w:rsid w:val="006522C4"/>
    <w:rsid w:val="006523BE"/>
    <w:rsid w:val="006526FB"/>
    <w:rsid w:val="006529DD"/>
    <w:rsid w:val="00653160"/>
    <w:rsid w:val="00653AE2"/>
    <w:rsid w:val="00653D6A"/>
    <w:rsid w:val="00654A54"/>
    <w:rsid w:val="00654E79"/>
    <w:rsid w:val="0065574B"/>
    <w:rsid w:val="006561DC"/>
    <w:rsid w:val="00656592"/>
    <w:rsid w:val="00656988"/>
    <w:rsid w:val="006572BA"/>
    <w:rsid w:val="00657B48"/>
    <w:rsid w:val="00660142"/>
    <w:rsid w:val="00661CAE"/>
    <w:rsid w:val="0066231F"/>
    <w:rsid w:val="006633A7"/>
    <w:rsid w:val="00663765"/>
    <w:rsid w:val="00663DF2"/>
    <w:rsid w:val="00663FF6"/>
    <w:rsid w:val="006648DB"/>
    <w:rsid w:val="00665A40"/>
    <w:rsid w:val="0066659D"/>
    <w:rsid w:val="006665FB"/>
    <w:rsid w:val="00666AF7"/>
    <w:rsid w:val="00666E01"/>
    <w:rsid w:val="00666FC3"/>
    <w:rsid w:val="00667E82"/>
    <w:rsid w:val="006702DA"/>
    <w:rsid w:val="006719C8"/>
    <w:rsid w:val="00671FC0"/>
    <w:rsid w:val="00673CE1"/>
    <w:rsid w:val="0067466D"/>
    <w:rsid w:val="00674D44"/>
    <w:rsid w:val="006753BC"/>
    <w:rsid w:val="006757C5"/>
    <w:rsid w:val="00676026"/>
    <w:rsid w:val="00676E2F"/>
    <w:rsid w:val="00677039"/>
    <w:rsid w:val="006777BE"/>
    <w:rsid w:val="00677B95"/>
    <w:rsid w:val="00677EF3"/>
    <w:rsid w:val="006802F4"/>
    <w:rsid w:val="006813E7"/>
    <w:rsid w:val="006817D2"/>
    <w:rsid w:val="006818B4"/>
    <w:rsid w:val="00682174"/>
    <w:rsid w:val="0068222D"/>
    <w:rsid w:val="006829D9"/>
    <w:rsid w:val="00682BFA"/>
    <w:rsid w:val="006832A9"/>
    <w:rsid w:val="0068334B"/>
    <w:rsid w:val="00684761"/>
    <w:rsid w:val="0068556A"/>
    <w:rsid w:val="006858AC"/>
    <w:rsid w:val="00685934"/>
    <w:rsid w:val="00685B66"/>
    <w:rsid w:val="00685C35"/>
    <w:rsid w:val="0068615D"/>
    <w:rsid w:val="00686330"/>
    <w:rsid w:val="00686A2B"/>
    <w:rsid w:val="00687032"/>
    <w:rsid w:val="00687607"/>
    <w:rsid w:val="00687C3A"/>
    <w:rsid w:val="00687F15"/>
    <w:rsid w:val="00690038"/>
    <w:rsid w:val="00690EAE"/>
    <w:rsid w:val="0069104C"/>
    <w:rsid w:val="00692CFE"/>
    <w:rsid w:val="00693B0E"/>
    <w:rsid w:val="00696E53"/>
    <w:rsid w:val="006974A2"/>
    <w:rsid w:val="0069751B"/>
    <w:rsid w:val="006979A3"/>
    <w:rsid w:val="006A00E7"/>
    <w:rsid w:val="006A044B"/>
    <w:rsid w:val="006A1219"/>
    <w:rsid w:val="006A194E"/>
    <w:rsid w:val="006A27D8"/>
    <w:rsid w:val="006A29E9"/>
    <w:rsid w:val="006A2A12"/>
    <w:rsid w:val="006A2FA9"/>
    <w:rsid w:val="006A373A"/>
    <w:rsid w:val="006A39D5"/>
    <w:rsid w:val="006A450F"/>
    <w:rsid w:val="006A6483"/>
    <w:rsid w:val="006A6522"/>
    <w:rsid w:val="006A662E"/>
    <w:rsid w:val="006A739F"/>
    <w:rsid w:val="006A749C"/>
    <w:rsid w:val="006A74AD"/>
    <w:rsid w:val="006A773C"/>
    <w:rsid w:val="006A7D0A"/>
    <w:rsid w:val="006B0ADB"/>
    <w:rsid w:val="006B0E9E"/>
    <w:rsid w:val="006B1049"/>
    <w:rsid w:val="006B116A"/>
    <w:rsid w:val="006B1669"/>
    <w:rsid w:val="006B1A50"/>
    <w:rsid w:val="006B2044"/>
    <w:rsid w:val="006B2A09"/>
    <w:rsid w:val="006B2D6E"/>
    <w:rsid w:val="006B2E86"/>
    <w:rsid w:val="006B2F71"/>
    <w:rsid w:val="006B3A1F"/>
    <w:rsid w:val="006B46F6"/>
    <w:rsid w:val="006B48C4"/>
    <w:rsid w:val="006B509B"/>
    <w:rsid w:val="006B55FD"/>
    <w:rsid w:val="006B61AD"/>
    <w:rsid w:val="006B64F6"/>
    <w:rsid w:val="006B6829"/>
    <w:rsid w:val="006B682C"/>
    <w:rsid w:val="006B6A4D"/>
    <w:rsid w:val="006B7858"/>
    <w:rsid w:val="006B7C9F"/>
    <w:rsid w:val="006C0470"/>
    <w:rsid w:val="006C09AD"/>
    <w:rsid w:val="006C0D1C"/>
    <w:rsid w:val="006C0E06"/>
    <w:rsid w:val="006C119F"/>
    <w:rsid w:val="006C1D90"/>
    <w:rsid w:val="006C4019"/>
    <w:rsid w:val="006C4969"/>
    <w:rsid w:val="006C4DFB"/>
    <w:rsid w:val="006C51B5"/>
    <w:rsid w:val="006C5671"/>
    <w:rsid w:val="006C5749"/>
    <w:rsid w:val="006C6324"/>
    <w:rsid w:val="006C644E"/>
    <w:rsid w:val="006C6571"/>
    <w:rsid w:val="006C7306"/>
    <w:rsid w:val="006C750A"/>
    <w:rsid w:val="006C7940"/>
    <w:rsid w:val="006C7D47"/>
    <w:rsid w:val="006C7FF7"/>
    <w:rsid w:val="006D42DE"/>
    <w:rsid w:val="006D58CC"/>
    <w:rsid w:val="006D59AF"/>
    <w:rsid w:val="006D6C3E"/>
    <w:rsid w:val="006D7E77"/>
    <w:rsid w:val="006E0C5D"/>
    <w:rsid w:val="006E1ED1"/>
    <w:rsid w:val="006E24D8"/>
    <w:rsid w:val="006E2904"/>
    <w:rsid w:val="006E3A7B"/>
    <w:rsid w:val="006E4160"/>
    <w:rsid w:val="006E45A7"/>
    <w:rsid w:val="006E4721"/>
    <w:rsid w:val="006E68C6"/>
    <w:rsid w:val="006E73A1"/>
    <w:rsid w:val="006E77A6"/>
    <w:rsid w:val="006E7DE2"/>
    <w:rsid w:val="006F13EF"/>
    <w:rsid w:val="006F1BA0"/>
    <w:rsid w:val="006F20A4"/>
    <w:rsid w:val="006F364B"/>
    <w:rsid w:val="006F36A2"/>
    <w:rsid w:val="006F39F6"/>
    <w:rsid w:val="006F40B6"/>
    <w:rsid w:val="006F4DF4"/>
    <w:rsid w:val="006F513D"/>
    <w:rsid w:val="006F6279"/>
    <w:rsid w:val="006F633C"/>
    <w:rsid w:val="006F6566"/>
    <w:rsid w:val="006F769F"/>
    <w:rsid w:val="006F7A1F"/>
    <w:rsid w:val="006F7BDD"/>
    <w:rsid w:val="00700261"/>
    <w:rsid w:val="00700F76"/>
    <w:rsid w:val="007023EB"/>
    <w:rsid w:val="00702CA5"/>
    <w:rsid w:val="00703735"/>
    <w:rsid w:val="00703E97"/>
    <w:rsid w:val="007043E5"/>
    <w:rsid w:val="00704DE4"/>
    <w:rsid w:val="007052B8"/>
    <w:rsid w:val="00705A48"/>
    <w:rsid w:val="00705ACD"/>
    <w:rsid w:val="00705AF9"/>
    <w:rsid w:val="00706C8D"/>
    <w:rsid w:val="00706CFA"/>
    <w:rsid w:val="0070726A"/>
    <w:rsid w:val="007079B4"/>
    <w:rsid w:val="0071036B"/>
    <w:rsid w:val="007106A3"/>
    <w:rsid w:val="0071078A"/>
    <w:rsid w:val="0071096A"/>
    <w:rsid w:val="007109E8"/>
    <w:rsid w:val="00710BB4"/>
    <w:rsid w:val="00710CB6"/>
    <w:rsid w:val="00710F47"/>
    <w:rsid w:val="00710F91"/>
    <w:rsid w:val="00711F24"/>
    <w:rsid w:val="0071215F"/>
    <w:rsid w:val="00713198"/>
    <w:rsid w:val="0071371B"/>
    <w:rsid w:val="00713E0A"/>
    <w:rsid w:val="007140EF"/>
    <w:rsid w:val="00714655"/>
    <w:rsid w:val="00715E1D"/>
    <w:rsid w:val="00717A87"/>
    <w:rsid w:val="00717C3A"/>
    <w:rsid w:val="00720B61"/>
    <w:rsid w:val="0072118C"/>
    <w:rsid w:val="00722816"/>
    <w:rsid w:val="007237FC"/>
    <w:rsid w:val="00727718"/>
    <w:rsid w:val="007303AA"/>
    <w:rsid w:val="00731558"/>
    <w:rsid w:val="0073182D"/>
    <w:rsid w:val="00732002"/>
    <w:rsid w:val="00732454"/>
    <w:rsid w:val="00732AF8"/>
    <w:rsid w:val="007337F4"/>
    <w:rsid w:val="00733886"/>
    <w:rsid w:val="00734ACD"/>
    <w:rsid w:val="007352FE"/>
    <w:rsid w:val="0073631E"/>
    <w:rsid w:val="007372E1"/>
    <w:rsid w:val="00741E5F"/>
    <w:rsid w:val="007448D1"/>
    <w:rsid w:val="00744901"/>
    <w:rsid w:val="0074502F"/>
    <w:rsid w:val="0074527D"/>
    <w:rsid w:val="007467EE"/>
    <w:rsid w:val="00746CC0"/>
    <w:rsid w:val="00747704"/>
    <w:rsid w:val="00747AAE"/>
    <w:rsid w:val="00747CA2"/>
    <w:rsid w:val="00750453"/>
    <w:rsid w:val="00750B5E"/>
    <w:rsid w:val="00750D66"/>
    <w:rsid w:val="007511B1"/>
    <w:rsid w:val="00751C05"/>
    <w:rsid w:val="00752A03"/>
    <w:rsid w:val="00752CD3"/>
    <w:rsid w:val="0075348B"/>
    <w:rsid w:val="00756363"/>
    <w:rsid w:val="00760284"/>
    <w:rsid w:val="00760394"/>
    <w:rsid w:val="00762CE8"/>
    <w:rsid w:val="00763099"/>
    <w:rsid w:val="00763A61"/>
    <w:rsid w:val="00765359"/>
    <w:rsid w:val="0076544F"/>
    <w:rsid w:val="0076551A"/>
    <w:rsid w:val="00765AB1"/>
    <w:rsid w:val="00765FEF"/>
    <w:rsid w:val="0076600D"/>
    <w:rsid w:val="0076615A"/>
    <w:rsid w:val="007663F7"/>
    <w:rsid w:val="0076723D"/>
    <w:rsid w:val="007679D5"/>
    <w:rsid w:val="00767B3D"/>
    <w:rsid w:val="00770A1C"/>
    <w:rsid w:val="00771877"/>
    <w:rsid w:val="00771B9E"/>
    <w:rsid w:val="00771E0E"/>
    <w:rsid w:val="00771F19"/>
    <w:rsid w:val="00772352"/>
    <w:rsid w:val="007727C5"/>
    <w:rsid w:val="00773F9B"/>
    <w:rsid w:val="00774C1E"/>
    <w:rsid w:val="007753CD"/>
    <w:rsid w:val="0077619B"/>
    <w:rsid w:val="00776399"/>
    <w:rsid w:val="00777BE8"/>
    <w:rsid w:val="0078014E"/>
    <w:rsid w:val="0078095B"/>
    <w:rsid w:val="00780B93"/>
    <w:rsid w:val="00781C04"/>
    <w:rsid w:val="007824AF"/>
    <w:rsid w:val="00782753"/>
    <w:rsid w:val="00782F68"/>
    <w:rsid w:val="007832F5"/>
    <w:rsid w:val="0078337D"/>
    <w:rsid w:val="0078388F"/>
    <w:rsid w:val="00783A73"/>
    <w:rsid w:val="007841AB"/>
    <w:rsid w:val="00785455"/>
    <w:rsid w:val="0078549F"/>
    <w:rsid w:val="00786915"/>
    <w:rsid w:val="00786D4D"/>
    <w:rsid w:val="00790066"/>
    <w:rsid w:val="0079046A"/>
    <w:rsid w:val="00790588"/>
    <w:rsid w:val="00792A60"/>
    <w:rsid w:val="00792E1C"/>
    <w:rsid w:val="007932BC"/>
    <w:rsid w:val="00794282"/>
    <w:rsid w:val="007942BE"/>
    <w:rsid w:val="00794A12"/>
    <w:rsid w:val="00795740"/>
    <w:rsid w:val="007979C9"/>
    <w:rsid w:val="007A05E1"/>
    <w:rsid w:val="007A111D"/>
    <w:rsid w:val="007A14D9"/>
    <w:rsid w:val="007A1AC6"/>
    <w:rsid w:val="007A28EC"/>
    <w:rsid w:val="007A3419"/>
    <w:rsid w:val="007A3A25"/>
    <w:rsid w:val="007A4735"/>
    <w:rsid w:val="007A5235"/>
    <w:rsid w:val="007A561F"/>
    <w:rsid w:val="007A5D0E"/>
    <w:rsid w:val="007A6252"/>
    <w:rsid w:val="007A66D6"/>
    <w:rsid w:val="007A75C6"/>
    <w:rsid w:val="007B04B8"/>
    <w:rsid w:val="007B0F3F"/>
    <w:rsid w:val="007B18C6"/>
    <w:rsid w:val="007B27AC"/>
    <w:rsid w:val="007B58E3"/>
    <w:rsid w:val="007B5BA3"/>
    <w:rsid w:val="007B5F54"/>
    <w:rsid w:val="007B6260"/>
    <w:rsid w:val="007B631C"/>
    <w:rsid w:val="007B6419"/>
    <w:rsid w:val="007B708A"/>
    <w:rsid w:val="007B7293"/>
    <w:rsid w:val="007B78CA"/>
    <w:rsid w:val="007B7ECA"/>
    <w:rsid w:val="007C18E6"/>
    <w:rsid w:val="007C1F25"/>
    <w:rsid w:val="007C27B9"/>
    <w:rsid w:val="007C30A6"/>
    <w:rsid w:val="007C3685"/>
    <w:rsid w:val="007C3BA2"/>
    <w:rsid w:val="007C3C2F"/>
    <w:rsid w:val="007C3D70"/>
    <w:rsid w:val="007C3E31"/>
    <w:rsid w:val="007C45B6"/>
    <w:rsid w:val="007C4BB0"/>
    <w:rsid w:val="007C4D35"/>
    <w:rsid w:val="007C5ECD"/>
    <w:rsid w:val="007C6C65"/>
    <w:rsid w:val="007C7A7B"/>
    <w:rsid w:val="007C7EA0"/>
    <w:rsid w:val="007D065D"/>
    <w:rsid w:val="007D08FC"/>
    <w:rsid w:val="007D2004"/>
    <w:rsid w:val="007D2152"/>
    <w:rsid w:val="007D3C0E"/>
    <w:rsid w:val="007D4480"/>
    <w:rsid w:val="007D4A44"/>
    <w:rsid w:val="007D4DD3"/>
    <w:rsid w:val="007D4E9E"/>
    <w:rsid w:val="007D4F33"/>
    <w:rsid w:val="007D5F2A"/>
    <w:rsid w:val="007D5F67"/>
    <w:rsid w:val="007D6036"/>
    <w:rsid w:val="007D644C"/>
    <w:rsid w:val="007D7001"/>
    <w:rsid w:val="007E05D9"/>
    <w:rsid w:val="007E064B"/>
    <w:rsid w:val="007E0FB3"/>
    <w:rsid w:val="007E2AA9"/>
    <w:rsid w:val="007E2F1C"/>
    <w:rsid w:val="007E3B85"/>
    <w:rsid w:val="007E4890"/>
    <w:rsid w:val="007E52FC"/>
    <w:rsid w:val="007E5B8C"/>
    <w:rsid w:val="007E5CEF"/>
    <w:rsid w:val="007E5D4C"/>
    <w:rsid w:val="007E6339"/>
    <w:rsid w:val="007E63BE"/>
    <w:rsid w:val="007E67F1"/>
    <w:rsid w:val="007E71A1"/>
    <w:rsid w:val="007E7400"/>
    <w:rsid w:val="007F0BEC"/>
    <w:rsid w:val="007F1ADC"/>
    <w:rsid w:val="007F235E"/>
    <w:rsid w:val="007F38BC"/>
    <w:rsid w:val="007F3B1B"/>
    <w:rsid w:val="007F5DB7"/>
    <w:rsid w:val="007F609B"/>
    <w:rsid w:val="007F77C9"/>
    <w:rsid w:val="0080170F"/>
    <w:rsid w:val="00801845"/>
    <w:rsid w:val="00801C9D"/>
    <w:rsid w:val="00803480"/>
    <w:rsid w:val="00803DB1"/>
    <w:rsid w:val="008049CD"/>
    <w:rsid w:val="00804B1C"/>
    <w:rsid w:val="00804D1F"/>
    <w:rsid w:val="0080536B"/>
    <w:rsid w:val="008053AE"/>
    <w:rsid w:val="008059C2"/>
    <w:rsid w:val="00805E2A"/>
    <w:rsid w:val="00805F40"/>
    <w:rsid w:val="00806EA7"/>
    <w:rsid w:val="00806EB4"/>
    <w:rsid w:val="0080726F"/>
    <w:rsid w:val="008100B1"/>
    <w:rsid w:val="00810211"/>
    <w:rsid w:val="008102C6"/>
    <w:rsid w:val="00810FEA"/>
    <w:rsid w:val="0081110B"/>
    <w:rsid w:val="0081158D"/>
    <w:rsid w:val="0081178E"/>
    <w:rsid w:val="0081226B"/>
    <w:rsid w:val="00813543"/>
    <w:rsid w:val="00813E44"/>
    <w:rsid w:val="00816A87"/>
    <w:rsid w:val="00816B11"/>
    <w:rsid w:val="008208D5"/>
    <w:rsid w:val="00821386"/>
    <w:rsid w:val="0082156D"/>
    <w:rsid w:val="00822202"/>
    <w:rsid w:val="00822828"/>
    <w:rsid w:val="00822A39"/>
    <w:rsid w:val="00823095"/>
    <w:rsid w:val="00823C7B"/>
    <w:rsid w:val="00824A70"/>
    <w:rsid w:val="008257F0"/>
    <w:rsid w:val="00825A2D"/>
    <w:rsid w:val="00825AAF"/>
    <w:rsid w:val="008271DB"/>
    <w:rsid w:val="0082747A"/>
    <w:rsid w:val="008276F2"/>
    <w:rsid w:val="008315D4"/>
    <w:rsid w:val="00831D4C"/>
    <w:rsid w:val="00832D6D"/>
    <w:rsid w:val="00833005"/>
    <w:rsid w:val="00833049"/>
    <w:rsid w:val="008333FC"/>
    <w:rsid w:val="008337FC"/>
    <w:rsid w:val="00833A3D"/>
    <w:rsid w:val="00833A46"/>
    <w:rsid w:val="00834E77"/>
    <w:rsid w:val="00834F8C"/>
    <w:rsid w:val="00835106"/>
    <w:rsid w:val="008357BF"/>
    <w:rsid w:val="00835ED0"/>
    <w:rsid w:val="00835F02"/>
    <w:rsid w:val="008361CE"/>
    <w:rsid w:val="008362DE"/>
    <w:rsid w:val="00836802"/>
    <w:rsid w:val="00836C12"/>
    <w:rsid w:val="008371A3"/>
    <w:rsid w:val="00837555"/>
    <w:rsid w:val="00841A03"/>
    <w:rsid w:val="00841A35"/>
    <w:rsid w:val="00841CFA"/>
    <w:rsid w:val="00841D94"/>
    <w:rsid w:val="0084224C"/>
    <w:rsid w:val="00842775"/>
    <w:rsid w:val="00843289"/>
    <w:rsid w:val="008438B1"/>
    <w:rsid w:val="00843E55"/>
    <w:rsid w:val="008440C5"/>
    <w:rsid w:val="0084424B"/>
    <w:rsid w:val="0084462B"/>
    <w:rsid w:val="00844C00"/>
    <w:rsid w:val="00846030"/>
    <w:rsid w:val="00846689"/>
    <w:rsid w:val="00846709"/>
    <w:rsid w:val="00847137"/>
    <w:rsid w:val="008473FB"/>
    <w:rsid w:val="008474C4"/>
    <w:rsid w:val="00847A38"/>
    <w:rsid w:val="00847F72"/>
    <w:rsid w:val="00850039"/>
    <w:rsid w:val="00850177"/>
    <w:rsid w:val="008506CC"/>
    <w:rsid w:val="0085083F"/>
    <w:rsid w:val="008515B2"/>
    <w:rsid w:val="00851E7C"/>
    <w:rsid w:val="00852BE7"/>
    <w:rsid w:val="008535AC"/>
    <w:rsid w:val="00853E1E"/>
    <w:rsid w:val="008547C6"/>
    <w:rsid w:val="008550E5"/>
    <w:rsid w:val="00855899"/>
    <w:rsid w:val="00856717"/>
    <w:rsid w:val="00856ACC"/>
    <w:rsid w:val="00856FE3"/>
    <w:rsid w:val="00857151"/>
    <w:rsid w:val="008606BC"/>
    <w:rsid w:val="00862035"/>
    <w:rsid w:val="00862B35"/>
    <w:rsid w:val="00863889"/>
    <w:rsid w:val="00864202"/>
    <w:rsid w:val="00865EBE"/>
    <w:rsid w:val="00866DB8"/>
    <w:rsid w:val="008679B5"/>
    <w:rsid w:val="008706B0"/>
    <w:rsid w:val="00871817"/>
    <w:rsid w:val="00872254"/>
    <w:rsid w:val="00872312"/>
    <w:rsid w:val="00872377"/>
    <w:rsid w:val="008723DE"/>
    <w:rsid w:val="0087318E"/>
    <w:rsid w:val="00873B82"/>
    <w:rsid w:val="00873BEE"/>
    <w:rsid w:val="0087506C"/>
    <w:rsid w:val="0087538C"/>
    <w:rsid w:val="008765AE"/>
    <w:rsid w:val="0087760B"/>
    <w:rsid w:val="008806D9"/>
    <w:rsid w:val="00880A51"/>
    <w:rsid w:val="00882158"/>
    <w:rsid w:val="00882547"/>
    <w:rsid w:val="00882AB8"/>
    <w:rsid w:val="008832C5"/>
    <w:rsid w:val="00883574"/>
    <w:rsid w:val="008838C2"/>
    <w:rsid w:val="008839AB"/>
    <w:rsid w:val="00883CD1"/>
    <w:rsid w:val="00884052"/>
    <w:rsid w:val="00884EAC"/>
    <w:rsid w:val="00885E17"/>
    <w:rsid w:val="00886277"/>
    <w:rsid w:val="00886836"/>
    <w:rsid w:val="00891D18"/>
    <w:rsid w:val="00892420"/>
    <w:rsid w:val="00892905"/>
    <w:rsid w:val="00892BF7"/>
    <w:rsid w:val="00892E44"/>
    <w:rsid w:val="0089383F"/>
    <w:rsid w:val="00893C99"/>
    <w:rsid w:val="00894574"/>
    <w:rsid w:val="00894957"/>
    <w:rsid w:val="008956B8"/>
    <w:rsid w:val="0089591E"/>
    <w:rsid w:val="008960A3"/>
    <w:rsid w:val="00896195"/>
    <w:rsid w:val="0089634D"/>
    <w:rsid w:val="00896A7C"/>
    <w:rsid w:val="00896E78"/>
    <w:rsid w:val="00897199"/>
    <w:rsid w:val="008971A7"/>
    <w:rsid w:val="008973D7"/>
    <w:rsid w:val="00897510"/>
    <w:rsid w:val="00897D91"/>
    <w:rsid w:val="008A17A3"/>
    <w:rsid w:val="008A18FB"/>
    <w:rsid w:val="008A1B9E"/>
    <w:rsid w:val="008A1E91"/>
    <w:rsid w:val="008A201D"/>
    <w:rsid w:val="008A23EC"/>
    <w:rsid w:val="008A263A"/>
    <w:rsid w:val="008A2939"/>
    <w:rsid w:val="008A37D4"/>
    <w:rsid w:val="008A3E8D"/>
    <w:rsid w:val="008A4828"/>
    <w:rsid w:val="008A48B1"/>
    <w:rsid w:val="008A4AFF"/>
    <w:rsid w:val="008A5912"/>
    <w:rsid w:val="008A5A09"/>
    <w:rsid w:val="008A6B33"/>
    <w:rsid w:val="008A7779"/>
    <w:rsid w:val="008A7894"/>
    <w:rsid w:val="008A7BDC"/>
    <w:rsid w:val="008A7CA8"/>
    <w:rsid w:val="008A7D4F"/>
    <w:rsid w:val="008B0365"/>
    <w:rsid w:val="008B2217"/>
    <w:rsid w:val="008B2965"/>
    <w:rsid w:val="008B2C56"/>
    <w:rsid w:val="008B2DF3"/>
    <w:rsid w:val="008B3852"/>
    <w:rsid w:val="008B3C69"/>
    <w:rsid w:val="008B4DF1"/>
    <w:rsid w:val="008B5C6C"/>
    <w:rsid w:val="008B6551"/>
    <w:rsid w:val="008B6BA0"/>
    <w:rsid w:val="008B720E"/>
    <w:rsid w:val="008B7F7D"/>
    <w:rsid w:val="008C0152"/>
    <w:rsid w:val="008C052A"/>
    <w:rsid w:val="008C1222"/>
    <w:rsid w:val="008C1836"/>
    <w:rsid w:val="008C1955"/>
    <w:rsid w:val="008C198F"/>
    <w:rsid w:val="008C1CDF"/>
    <w:rsid w:val="008C21FE"/>
    <w:rsid w:val="008C28AF"/>
    <w:rsid w:val="008C2C60"/>
    <w:rsid w:val="008C2F2A"/>
    <w:rsid w:val="008C37A7"/>
    <w:rsid w:val="008C3C2B"/>
    <w:rsid w:val="008C49D0"/>
    <w:rsid w:val="008C54DF"/>
    <w:rsid w:val="008C5627"/>
    <w:rsid w:val="008C577A"/>
    <w:rsid w:val="008C57B2"/>
    <w:rsid w:val="008C5C3D"/>
    <w:rsid w:val="008C5FB9"/>
    <w:rsid w:val="008C6F0C"/>
    <w:rsid w:val="008C7607"/>
    <w:rsid w:val="008C780A"/>
    <w:rsid w:val="008C7A08"/>
    <w:rsid w:val="008C7DD6"/>
    <w:rsid w:val="008D07FB"/>
    <w:rsid w:val="008D0DCD"/>
    <w:rsid w:val="008D13A9"/>
    <w:rsid w:val="008D14BA"/>
    <w:rsid w:val="008D28E5"/>
    <w:rsid w:val="008D33EB"/>
    <w:rsid w:val="008D3A59"/>
    <w:rsid w:val="008D3F15"/>
    <w:rsid w:val="008D4208"/>
    <w:rsid w:val="008D4573"/>
    <w:rsid w:val="008D507D"/>
    <w:rsid w:val="008D50A0"/>
    <w:rsid w:val="008D6DBB"/>
    <w:rsid w:val="008D724E"/>
    <w:rsid w:val="008D7451"/>
    <w:rsid w:val="008D7C2D"/>
    <w:rsid w:val="008D7C2F"/>
    <w:rsid w:val="008D7DBF"/>
    <w:rsid w:val="008E0367"/>
    <w:rsid w:val="008E051D"/>
    <w:rsid w:val="008E0764"/>
    <w:rsid w:val="008E1673"/>
    <w:rsid w:val="008E16EF"/>
    <w:rsid w:val="008E1E10"/>
    <w:rsid w:val="008E3180"/>
    <w:rsid w:val="008E36B0"/>
    <w:rsid w:val="008E4570"/>
    <w:rsid w:val="008E4B54"/>
    <w:rsid w:val="008E4B57"/>
    <w:rsid w:val="008E54CF"/>
    <w:rsid w:val="008E553D"/>
    <w:rsid w:val="008E5732"/>
    <w:rsid w:val="008E5E7D"/>
    <w:rsid w:val="008E6387"/>
    <w:rsid w:val="008E6AC8"/>
    <w:rsid w:val="008E7378"/>
    <w:rsid w:val="008F0899"/>
    <w:rsid w:val="008F0EDF"/>
    <w:rsid w:val="008F1298"/>
    <w:rsid w:val="008F1338"/>
    <w:rsid w:val="008F1803"/>
    <w:rsid w:val="008F183C"/>
    <w:rsid w:val="008F206B"/>
    <w:rsid w:val="008F270C"/>
    <w:rsid w:val="008F2BEF"/>
    <w:rsid w:val="008F2DAA"/>
    <w:rsid w:val="008F3BD8"/>
    <w:rsid w:val="008F3D7B"/>
    <w:rsid w:val="008F444E"/>
    <w:rsid w:val="008F473F"/>
    <w:rsid w:val="008F4B2D"/>
    <w:rsid w:val="008F4E0C"/>
    <w:rsid w:val="008F506B"/>
    <w:rsid w:val="008F550A"/>
    <w:rsid w:val="008F71CA"/>
    <w:rsid w:val="008F72D2"/>
    <w:rsid w:val="008F7EAD"/>
    <w:rsid w:val="008F7F8B"/>
    <w:rsid w:val="009022AF"/>
    <w:rsid w:val="009026BB"/>
    <w:rsid w:val="00902D3D"/>
    <w:rsid w:val="00903466"/>
    <w:rsid w:val="009057EE"/>
    <w:rsid w:val="00907459"/>
    <w:rsid w:val="00907CEC"/>
    <w:rsid w:val="00907F78"/>
    <w:rsid w:val="009107A5"/>
    <w:rsid w:val="00910B90"/>
    <w:rsid w:val="00910D0F"/>
    <w:rsid w:val="00910E96"/>
    <w:rsid w:val="0091297A"/>
    <w:rsid w:val="0091331F"/>
    <w:rsid w:val="009147ED"/>
    <w:rsid w:val="00916068"/>
    <w:rsid w:val="00917339"/>
    <w:rsid w:val="00917779"/>
    <w:rsid w:val="0091799E"/>
    <w:rsid w:val="009205F9"/>
    <w:rsid w:val="009206B1"/>
    <w:rsid w:val="00920812"/>
    <w:rsid w:val="009209E3"/>
    <w:rsid w:val="00920EF8"/>
    <w:rsid w:val="00921282"/>
    <w:rsid w:val="0092241E"/>
    <w:rsid w:val="00922B97"/>
    <w:rsid w:val="00923ED8"/>
    <w:rsid w:val="00924576"/>
    <w:rsid w:val="009247FB"/>
    <w:rsid w:val="00924E26"/>
    <w:rsid w:val="00926860"/>
    <w:rsid w:val="00926F85"/>
    <w:rsid w:val="009270DF"/>
    <w:rsid w:val="0092770C"/>
    <w:rsid w:val="00930DAF"/>
    <w:rsid w:val="00931C19"/>
    <w:rsid w:val="00932665"/>
    <w:rsid w:val="00932AFA"/>
    <w:rsid w:val="0093384D"/>
    <w:rsid w:val="00933ADC"/>
    <w:rsid w:val="00933B15"/>
    <w:rsid w:val="0093486B"/>
    <w:rsid w:val="00934D1B"/>
    <w:rsid w:val="00935273"/>
    <w:rsid w:val="00936529"/>
    <w:rsid w:val="00936FE3"/>
    <w:rsid w:val="00937CBE"/>
    <w:rsid w:val="009401B6"/>
    <w:rsid w:val="009403A2"/>
    <w:rsid w:val="009408DE"/>
    <w:rsid w:val="00940F9E"/>
    <w:rsid w:val="00941C8E"/>
    <w:rsid w:val="009426A6"/>
    <w:rsid w:val="009428C9"/>
    <w:rsid w:val="00942E5D"/>
    <w:rsid w:val="00943371"/>
    <w:rsid w:val="0094468D"/>
    <w:rsid w:val="00944AA8"/>
    <w:rsid w:val="00944DE8"/>
    <w:rsid w:val="0094509F"/>
    <w:rsid w:val="00945A5D"/>
    <w:rsid w:val="009470D6"/>
    <w:rsid w:val="009473BF"/>
    <w:rsid w:val="00947AF7"/>
    <w:rsid w:val="00947EAA"/>
    <w:rsid w:val="009501F3"/>
    <w:rsid w:val="009511A9"/>
    <w:rsid w:val="00951BC4"/>
    <w:rsid w:val="0095282B"/>
    <w:rsid w:val="0095283E"/>
    <w:rsid w:val="00952F28"/>
    <w:rsid w:val="009535F9"/>
    <w:rsid w:val="00953DE6"/>
    <w:rsid w:val="00954061"/>
    <w:rsid w:val="00954075"/>
    <w:rsid w:val="009547F0"/>
    <w:rsid w:val="00954F04"/>
    <w:rsid w:val="0095501D"/>
    <w:rsid w:val="00955A04"/>
    <w:rsid w:val="00957359"/>
    <w:rsid w:val="00960261"/>
    <w:rsid w:val="009607D3"/>
    <w:rsid w:val="00960AD0"/>
    <w:rsid w:val="00960D42"/>
    <w:rsid w:val="00960F3D"/>
    <w:rsid w:val="00961B3D"/>
    <w:rsid w:val="00962334"/>
    <w:rsid w:val="00962715"/>
    <w:rsid w:val="009631DE"/>
    <w:rsid w:val="0096361D"/>
    <w:rsid w:val="0096392E"/>
    <w:rsid w:val="009646FC"/>
    <w:rsid w:val="00964937"/>
    <w:rsid w:val="00964DF2"/>
    <w:rsid w:val="00964FA1"/>
    <w:rsid w:val="009650DA"/>
    <w:rsid w:val="00965D30"/>
    <w:rsid w:val="0096620F"/>
    <w:rsid w:val="00966D53"/>
    <w:rsid w:val="00967941"/>
    <w:rsid w:val="00967A1A"/>
    <w:rsid w:val="00967E0C"/>
    <w:rsid w:val="00970686"/>
    <w:rsid w:val="009709D2"/>
    <w:rsid w:val="00970B14"/>
    <w:rsid w:val="0097381C"/>
    <w:rsid w:val="00974C95"/>
    <w:rsid w:val="00975510"/>
    <w:rsid w:val="009772EE"/>
    <w:rsid w:val="00977EFF"/>
    <w:rsid w:val="0098094E"/>
    <w:rsid w:val="00980A61"/>
    <w:rsid w:val="00980AFC"/>
    <w:rsid w:val="00980D9B"/>
    <w:rsid w:val="00981710"/>
    <w:rsid w:val="00981CFA"/>
    <w:rsid w:val="009820CA"/>
    <w:rsid w:val="009830AF"/>
    <w:rsid w:val="00983F12"/>
    <w:rsid w:val="009846F6"/>
    <w:rsid w:val="0098588A"/>
    <w:rsid w:val="00985947"/>
    <w:rsid w:val="0098766D"/>
    <w:rsid w:val="0099064A"/>
    <w:rsid w:val="00990761"/>
    <w:rsid w:val="0099191F"/>
    <w:rsid w:val="00991DFA"/>
    <w:rsid w:val="00991F8D"/>
    <w:rsid w:val="009924F1"/>
    <w:rsid w:val="009931D0"/>
    <w:rsid w:val="0099372B"/>
    <w:rsid w:val="009939C6"/>
    <w:rsid w:val="00994503"/>
    <w:rsid w:val="00994635"/>
    <w:rsid w:val="00994D34"/>
    <w:rsid w:val="00994E2E"/>
    <w:rsid w:val="00995082"/>
    <w:rsid w:val="009952E7"/>
    <w:rsid w:val="00995B61"/>
    <w:rsid w:val="00995CCA"/>
    <w:rsid w:val="009960AC"/>
    <w:rsid w:val="00996418"/>
    <w:rsid w:val="0099657D"/>
    <w:rsid w:val="00996964"/>
    <w:rsid w:val="009A02C2"/>
    <w:rsid w:val="009A0547"/>
    <w:rsid w:val="009A0983"/>
    <w:rsid w:val="009A2588"/>
    <w:rsid w:val="009A2C5A"/>
    <w:rsid w:val="009A345E"/>
    <w:rsid w:val="009A3DEF"/>
    <w:rsid w:val="009A4804"/>
    <w:rsid w:val="009A6659"/>
    <w:rsid w:val="009A6AEE"/>
    <w:rsid w:val="009B002F"/>
    <w:rsid w:val="009B01DA"/>
    <w:rsid w:val="009B0B6F"/>
    <w:rsid w:val="009B0FBB"/>
    <w:rsid w:val="009B1122"/>
    <w:rsid w:val="009B1693"/>
    <w:rsid w:val="009B16D6"/>
    <w:rsid w:val="009B2045"/>
    <w:rsid w:val="009B2ABC"/>
    <w:rsid w:val="009B2BA6"/>
    <w:rsid w:val="009B2BAF"/>
    <w:rsid w:val="009B38DA"/>
    <w:rsid w:val="009B41CF"/>
    <w:rsid w:val="009B4360"/>
    <w:rsid w:val="009B505D"/>
    <w:rsid w:val="009B6202"/>
    <w:rsid w:val="009B7ADC"/>
    <w:rsid w:val="009B7B78"/>
    <w:rsid w:val="009C0593"/>
    <w:rsid w:val="009C06DF"/>
    <w:rsid w:val="009C2DFC"/>
    <w:rsid w:val="009C2EB2"/>
    <w:rsid w:val="009C2FF8"/>
    <w:rsid w:val="009C3345"/>
    <w:rsid w:val="009C341C"/>
    <w:rsid w:val="009C46C4"/>
    <w:rsid w:val="009C63A0"/>
    <w:rsid w:val="009C65A4"/>
    <w:rsid w:val="009C6B7C"/>
    <w:rsid w:val="009C6C47"/>
    <w:rsid w:val="009C6DAE"/>
    <w:rsid w:val="009C749F"/>
    <w:rsid w:val="009C7955"/>
    <w:rsid w:val="009C7958"/>
    <w:rsid w:val="009C7AC5"/>
    <w:rsid w:val="009D1381"/>
    <w:rsid w:val="009D2493"/>
    <w:rsid w:val="009D2C71"/>
    <w:rsid w:val="009D315A"/>
    <w:rsid w:val="009D3EA2"/>
    <w:rsid w:val="009D5535"/>
    <w:rsid w:val="009D56B3"/>
    <w:rsid w:val="009D578E"/>
    <w:rsid w:val="009D6886"/>
    <w:rsid w:val="009D6BFA"/>
    <w:rsid w:val="009D6D11"/>
    <w:rsid w:val="009D711B"/>
    <w:rsid w:val="009D7680"/>
    <w:rsid w:val="009D7C33"/>
    <w:rsid w:val="009E0D8E"/>
    <w:rsid w:val="009E1358"/>
    <w:rsid w:val="009E2BD2"/>
    <w:rsid w:val="009E2E81"/>
    <w:rsid w:val="009E3C2E"/>
    <w:rsid w:val="009E6349"/>
    <w:rsid w:val="009E6649"/>
    <w:rsid w:val="009E6ADE"/>
    <w:rsid w:val="009E6C80"/>
    <w:rsid w:val="009E6F04"/>
    <w:rsid w:val="009E7652"/>
    <w:rsid w:val="009F0027"/>
    <w:rsid w:val="009F05FC"/>
    <w:rsid w:val="009F14C9"/>
    <w:rsid w:val="009F15D5"/>
    <w:rsid w:val="009F2077"/>
    <w:rsid w:val="009F28BB"/>
    <w:rsid w:val="009F3646"/>
    <w:rsid w:val="009F3FAD"/>
    <w:rsid w:val="009F4174"/>
    <w:rsid w:val="009F5362"/>
    <w:rsid w:val="009F5F37"/>
    <w:rsid w:val="009F5F7D"/>
    <w:rsid w:val="009F65FC"/>
    <w:rsid w:val="009F6F81"/>
    <w:rsid w:val="009F7DCD"/>
    <w:rsid w:val="00A007F2"/>
    <w:rsid w:val="00A008B6"/>
    <w:rsid w:val="00A01977"/>
    <w:rsid w:val="00A02487"/>
    <w:rsid w:val="00A02876"/>
    <w:rsid w:val="00A03FDE"/>
    <w:rsid w:val="00A04754"/>
    <w:rsid w:val="00A0476E"/>
    <w:rsid w:val="00A04EB2"/>
    <w:rsid w:val="00A0558D"/>
    <w:rsid w:val="00A07238"/>
    <w:rsid w:val="00A07D87"/>
    <w:rsid w:val="00A10004"/>
    <w:rsid w:val="00A100A5"/>
    <w:rsid w:val="00A10166"/>
    <w:rsid w:val="00A10E58"/>
    <w:rsid w:val="00A11F66"/>
    <w:rsid w:val="00A12505"/>
    <w:rsid w:val="00A12A32"/>
    <w:rsid w:val="00A131DB"/>
    <w:rsid w:val="00A13279"/>
    <w:rsid w:val="00A137DE"/>
    <w:rsid w:val="00A13A52"/>
    <w:rsid w:val="00A13C7A"/>
    <w:rsid w:val="00A1406D"/>
    <w:rsid w:val="00A14CAE"/>
    <w:rsid w:val="00A154D2"/>
    <w:rsid w:val="00A159B8"/>
    <w:rsid w:val="00A1632A"/>
    <w:rsid w:val="00A164A5"/>
    <w:rsid w:val="00A168D4"/>
    <w:rsid w:val="00A16B55"/>
    <w:rsid w:val="00A16BF6"/>
    <w:rsid w:val="00A1764E"/>
    <w:rsid w:val="00A176DF"/>
    <w:rsid w:val="00A176F4"/>
    <w:rsid w:val="00A205BD"/>
    <w:rsid w:val="00A21663"/>
    <w:rsid w:val="00A21760"/>
    <w:rsid w:val="00A217DA"/>
    <w:rsid w:val="00A21AF4"/>
    <w:rsid w:val="00A21C90"/>
    <w:rsid w:val="00A21F27"/>
    <w:rsid w:val="00A220EF"/>
    <w:rsid w:val="00A22407"/>
    <w:rsid w:val="00A2280A"/>
    <w:rsid w:val="00A22A9A"/>
    <w:rsid w:val="00A22C05"/>
    <w:rsid w:val="00A23759"/>
    <w:rsid w:val="00A2375F"/>
    <w:rsid w:val="00A23D08"/>
    <w:rsid w:val="00A23D2C"/>
    <w:rsid w:val="00A24800"/>
    <w:rsid w:val="00A248B5"/>
    <w:rsid w:val="00A25D96"/>
    <w:rsid w:val="00A271F8"/>
    <w:rsid w:val="00A30315"/>
    <w:rsid w:val="00A305EC"/>
    <w:rsid w:val="00A309FA"/>
    <w:rsid w:val="00A30C9A"/>
    <w:rsid w:val="00A312DA"/>
    <w:rsid w:val="00A31900"/>
    <w:rsid w:val="00A31E6A"/>
    <w:rsid w:val="00A31FCE"/>
    <w:rsid w:val="00A329E1"/>
    <w:rsid w:val="00A32DBF"/>
    <w:rsid w:val="00A33D8C"/>
    <w:rsid w:val="00A33EA2"/>
    <w:rsid w:val="00A3451F"/>
    <w:rsid w:val="00A350CD"/>
    <w:rsid w:val="00A3539F"/>
    <w:rsid w:val="00A35434"/>
    <w:rsid w:val="00A36867"/>
    <w:rsid w:val="00A37936"/>
    <w:rsid w:val="00A40558"/>
    <w:rsid w:val="00A4094A"/>
    <w:rsid w:val="00A40C33"/>
    <w:rsid w:val="00A40E9B"/>
    <w:rsid w:val="00A41F3D"/>
    <w:rsid w:val="00A4236C"/>
    <w:rsid w:val="00A42515"/>
    <w:rsid w:val="00A42AC9"/>
    <w:rsid w:val="00A4378B"/>
    <w:rsid w:val="00A43EE8"/>
    <w:rsid w:val="00A447AC"/>
    <w:rsid w:val="00A4494C"/>
    <w:rsid w:val="00A44A4B"/>
    <w:rsid w:val="00A4595A"/>
    <w:rsid w:val="00A45F75"/>
    <w:rsid w:val="00A46C2B"/>
    <w:rsid w:val="00A47701"/>
    <w:rsid w:val="00A4799B"/>
    <w:rsid w:val="00A50A2E"/>
    <w:rsid w:val="00A510FD"/>
    <w:rsid w:val="00A511FC"/>
    <w:rsid w:val="00A51C7E"/>
    <w:rsid w:val="00A527BB"/>
    <w:rsid w:val="00A53084"/>
    <w:rsid w:val="00A54237"/>
    <w:rsid w:val="00A55675"/>
    <w:rsid w:val="00A56B5E"/>
    <w:rsid w:val="00A573A2"/>
    <w:rsid w:val="00A57641"/>
    <w:rsid w:val="00A57C1F"/>
    <w:rsid w:val="00A57C65"/>
    <w:rsid w:val="00A57EE3"/>
    <w:rsid w:val="00A6070C"/>
    <w:rsid w:val="00A60BC0"/>
    <w:rsid w:val="00A6125A"/>
    <w:rsid w:val="00A6171F"/>
    <w:rsid w:val="00A6191B"/>
    <w:rsid w:val="00A61E94"/>
    <w:rsid w:val="00A62150"/>
    <w:rsid w:val="00A62995"/>
    <w:rsid w:val="00A63523"/>
    <w:rsid w:val="00A638AE"/>
    <w:rsid w:val="00A639C3"/>
    <w:rsid w:val="00A63DCD"/>
    <w:rsid w:val="00A64A47"/>
    <w:rsid w:val="00A6541C"/>
    <w:rsid w:val="00A65754"/>
    <w:rsid w:val="00A65AC1"/>
    <w:rsid w:val="00A66DF5"/>
    <w:rsid w:val="00A7088A"/>
    <w:rsid w:val="00A7139A"/>
    <w:rsid w:val="00A71D1D"/>
    <w:rsid w:val="00A722C7"/>
    <w:rsid w:val="00A72E3E"/>
    <w:rsid w:val="00A72F72"/>
    <w:rsid w:val="00A73344"/>
    <w:rsid w:val="00A734F3"/>
    <w:rsid w:val="00A73587"/>
    <w:rsid w:val="00A742CB"/>
    <w:rsid w:val="00A7643A"/>
    <w:rsid w:val="00A76523"/>
    <w:rsid w:val="00A772C3"/>
    <w:rsid w:val="00A77D6F"/>
    <w:rsid w:val="00A77ED9"/>
    <w:rsid w:val="00A804B6"/>
    <w:rsid w:val="00A8083D"/>
    <w:rsid w:val="00A808B7"/>
    <w:rsid w:val="00A8125D"/>
    <w:rsid w:val="00A814BD"/>
    <w:rsid w:val="00A815AF"/>
    <w:rsid w:val="00A82D1A"/>
    <w:rsid w:val="00A83740"/>
    <w:rsid w:val="00A83D0E"/>
    <w:rsid w:val="00A8402A"/>
    <w:rsid w:val="00A847A5"/>
    <w:rsid w:val="00A84C3A"/>
    <w:rsid w:val="00A85227"/>
    <w:rsid w:val="00A8564D"/>
    <w:rsid w:val="00A85A2F"/>
    <w:rsid w:val="00A85FD8"/>
    <w:rsid w:val="00A86707"/>
    <w:rsid w:val="00A86CE0"/>
    <w:rsid w:val="00A86F31"/>
    <w:rsid w:val="00A87194"/>
    <w:rsid w:val="00A871FD"/>
    <w:rsid w:val="00A87E59"/>
    <w:rsid w:val="00A90016"/>
    <w:rsid w:val="00A905B6"/>
    <w:rsid w:val="00A91856"/>
    <w:rsid w:val="00A925DE"/>
    <w:rsid w:val="00A92673"/>
    <w:rsid w:val="00A92F9D"/>
    <w:rsid w:val="00A933C6"/>
    <w:rsid w:val="00A94181"/>
    <w:rsid w:val="00A943EC"/>
    <w:rsid w:val="00A94945"/>
    <w:rsid w:val="00A9579D"/>
    <w:rsid w:val="00A96908"/>
    <w:rsid w:val="00A96BA0"/>
    <w:rsid w:val="00A971CC"/>
    <w:rsid w:val="00A97BD7"/>
    <w:rsid w:val="00A97F25"/>
    <w:rsid w:val="00AA06DF"/>
    <w:rsid w:val="00AA1A82"/>
    <w:rsid w:val="00AA1E51"/>
    <w:rsid w:val="00AA26EB"/>
    <w:rsid w:val="00AA2C91"/>
    <w:rsid w:val="00AA2D08"/>
    <w:rsid w:val="00AA3922"/>
    <w:rsid w:val="00AA3D37"/>
    <w:rsid w:val="00AA3F93"/>
    <w:rsid w:val="00AA4812"/>
    <w:rsid w:val="00AA5F06"/>
    <w:rsid w:val="00AA6993"/>
    <w:rsid w:val="00AA6B63"/>
    <w:rsid w:val="00AA6DFE"/>
    <w:rsid w:val="00AB0A7B"/>
    <w:rsid w:val="00AB15E7"/>
    <w:rsid w:val="00AB1873"/>
    <w:rsid w:val="00AB19C0"/>
    <w:rsid w:val="00AB1A03"/>
    <w:rsid w:val="00AB236E"/>
    <w:rsid w:val="00AB29A0"/>
    <w:rsid w:val="00AB2E35"/>
    <w:rsid w:val="00AB434F"/>
    <w:rsid w:val="00AB469C"/>
    <w:rsid w:val="00AB4A7C"/>
    <w:rsid w:val="00AB505B"/>
    <w:rsid w:val="00AB521A"/>
    <w:rsid w:val="00AB5AE3"/>
    <w:rsid w:val="00AB5B8B"/>
    <w:rsid w:val="00AB5E40"/>
    <w:rsid w:val="00AB5E8A"/>
    <w:rsid w:val="00AB6BA9"/>
    <w:rsid w:val="00AB6BC4"/>
    <w:rsid w:val="00AB7240"/>
    <w:rsid w:val="00AC0014"/>
    <w:rsid w:val="00AC028F"/>
    <w:rsid w:val="00AC036C"/>
    <w:rsid w:val="00AC0B0F"/>
    <w:rsid w:val="00AC12A3"/>
    <w:rsid w:val="00AC1B61"/>
    <w:rsid w:val="00AC294C"/>
    <w:rsid w:val="00AC2B3A"/>
    <w:rsid w:val="00AC3229"/>
    <w:rsid w:val="00AC3238"/>
    <w:rsid w:val="00AC3D07"/>
    <w:rsid w:val="00AC4016"/>
    <w:rsid w:val="00AC4401"/>
    <w:rsid w:val="00AC4645"/>
    <w:rsid w:val="00AC4D92"/>
    <w:rsid w:val="00AC4FF4"/>
    <w:rsid w:val="00AC5E1A"/>
    <w:rsid w:val="00AC5E4E"/>
    <w:rsid w:val="00AC5F91"/>
    <w:rsid w:val="00AC6427"/>
    <w:rsid w:val="00AC68A9"/>
    <w:rsid w:val="00AC68F1"/>
    <w:rsid w:val="00AC6B04"/>
    <w:rsid w:val="00AC7654"/>
    <w:rsid w:val="00AC78A9"/>
    <w:rsid w:val="00AC7B62"/>
    <w:rsid w:val="00AC7CE4"/>
    <w:rsid w:val="00AC7E4E"/>
    <w:rsid w:val="00AD02A0"/>
    <w:rsid w:val="00AD0E64"/>
    <w:rsid w:val="00AD10D3"/>
    <w:rsid w:val="00AD19F9"/>
    <w:rsid w:val="00AD1F7E"/>
    <w:rsid w:val="00AD2668"/>
    <w:rsid w:val="00AD408A"/>
    <w:rsid w:val="00AD4227"/>
    <w:rsid w:val="00AD4564"/>
    <w:rsid w:val="00AD5451"/>
    <w:rsid w:val="00AD6F6B"/>
    <w:rsid w:val="00AD7BCC"/>
    <w:rsid w:val="00AD7F18"/>
    <w:rsid w:val="00AE0298"/>
    <w:rsid w:val="00AE0F2B"/>
    <w:rsid w:val="00AE18FC"/>
    <w:rsid w:val="00AE2741"/>
    <w:rsid w:val="00AE29EC"/>
    <w:rsid w:val="00AE3082"/>
    <w:rsid w:val="00AE3530"/>
    <w:rsid w:val="00AE35B7"/>
    <w:rsid w:val="00AE38EA"/>
    <w:rsid w:val="00AE478E"/>
    <w:rsid w:val="00AE4857"/>
    <w:rsid w:val="00AE4BF3"/>
    <w:rsid w:val="00AE55EE"/>
    <w:rsid w:val="00AE560C"/>
    <w:rsid w:val="00AE5E38"/>
    <w:rsid w:val="00AE5EEF"/>
    <w:rsid w:val="00AE7430"/>
    <w:rsid w:val="00AF0020"/>
    <w:rsid w:val="00AF0F15"/>
    <w:rsid w:val="00AF0FC0"/>
    <w:rsid w:val="00AF16CC"/>
    <w:rsid w:val="00AF263A"/>
    <w:rsid w:val="00AF32C0"/>
    <w:rsid w:val="00AF36BD"/>
    <w:rsid w:val="00AF46F2"/>
    <w:rsid w:val="00AF61D4"/>
    <w:rsid w:val="00AF6F94"/>
    <w:rsid w:val="00AF7C63"/>
    <w:rsid w:val="00B00CB0"/>
    <w:rsid w:val="00B00E11"/>
    <w:rsid w:val="00B015F2"/>
    <w:rsid w:val="00B024AF"/>
    <w:rsid w:val="00B03A36"/>
    <w:rsid w:val="00B03AE6"/>
    <w:rsid w:val="00B043AA"/>
    <w:rsid w:val="00B04FC5"/>
    <w:rsid w:val="00B055AF"/>
    <w:rsid w:val="00B06570"/>
    <w:rsid w:val="00B06885"/>
    <w:rsid w:val="00B07BEF"/>
    <w:rsid w:val="00B10810"/>
    <w:rsid w:val="00B12115"/>
    <w:rsid w:val="00B12284"/>
    <w:rsid w:val="00B12292"/>
    <w:rsid w:val="00B12499"/>
    <w:rsid w:val="00B146DB"/>
    <w:rsid w:val="00B158DC"/>
    <w:rsid w:val="00B166D6"/>
    <w:rsid w:val="00B16DA3"/>
    <w:rsid w:val="00B17206"/>
    <w:rsid w:val="00B17E25"/>
    <w:rsid w:val="00B20407"/>
    <w:rsid w:val="00B20433"/>
    <w:rsid w:val="00B206A1"/>
    <w:rsid w:val="00B20F8D"/>
    <w:rsid w:val="00B216A4"/>
    <w:rsid w:val="00B2190D"/>
    <w:rsid w:val="00B21D1B"/>
    <w:rsid w:val="00B21FC1"/>
    <w:rsid w:val="00B2239E"/>
    <w:rsid w:val="00B22F17"/>
    <w:rsid w:val="00B234F3"/>
    <w:rsid w:val="00B23B1D"/>
    <w:rsid w:val="00B240CB"/>
    <w:rsid w:val="00B24D2A"/>
    <w:rsid w:val="00B24F70"/>
    <w:rsid w:val="00B250BB"/>
    <w:rsid w:val="00B25C64"/>
    <w:rsid w:val="00B25DFC"/>
    <w:rsid w:val="00B26313"/>
    <w:rsid w:val="00B267E4"/>
    <w:rsid w:val="00B27281"/>
    <w:rsid w:val="00B27DAE"/>
    <w:rsid w:val="00B3003E"/>
    <w:rsid w:val="00B30B49"/>
    <w:rsid w:val="00B31A1E"/>
    <w:rsid w:val="00B31D6C"/>
    <w:rsid w:val="00B32016"/>
    <w:rsid w:val="00B321DA"/>
    <w:rsid w:val="00B32B2A"/>
    <w:rsid w:val="00B33496"/>
    <w:rsid w:val="00B34A17"/>
    <w:rsid w:val="00B34AF6"/>
    <w:rsid w:val="00B35161"/>
    <w:rsid w:val="00B3532C"/>
    <w:rsid w:val="00B3545D"/>
    <w:rsid w:val="00B357C8"/>
    <w:rsid w:val="00B35AEF"/>
    <w:rsid w:val="00B35E32"/>
    <w:rsid w:val="00B40118"/>
    <w:rsid w:val="00B412AA"/>
    <w:rsid w:val="00B4180B"/>
    <w:rsid w:val="00B41D15"/>
    <w:rsid w:val="00B41DD1"/>
    <w:rsid w:val="00B4274A"/>
    <w:rsid w:val="00B429A8"/>
    <w:rsid w:val="00B42A06"/>
    <w:rsid w:val="00B434B7"/>
    <w:rsid w:val="00B446C6"/>
    <w:rsid w:val="00B45347"/>
    <w:rsid w:val="00B4535F"/>
    <w:rsid w:val="00B4649B"/>
    <w:rsid w:val="00B469E0"/>
    <w:rsid w:val="00B46B57"/>
    <w:rsid w:val="00B46D19"/>
    <w:rsid w:val="00B47182"/>
    <w:rsid w:val="00B47D24"/>
    <w:rsid w:val="00B47DC9"/>
    <w:rsid w:val="00B50F58"/>
    <w:rsid w:val="00B52FC4"/>
    <w:rsid w:val="00B5300F"/>
    <w:rsid w:val="00B53933"/>
    <w:rsid w:val="00B53CA5"/>
    <w:rsid w:val="00B54012"/>
    <w:rsid w:val="00B549BC"/>
    <w:rsid w:val="00B55A5B"/>
    <w:rsid w:val="00B56311"/>
    <w:rsid w:val="00B56967"/>
    <w:rsid w:val="00B570C0"/>
    <w:rsid w:val="00B57490"/>
    <w:rsid w:val="00B578B2"/>
    <w:rsid w:val="00B60233"/>
    <w:rsid w:val="00B60266"/>
    <w:rsid w:val="00B608EF"/>
    <w:rsid w:val="00B60CA9"/>
    <w:rsid w:val="00B60F70"/>
    <w:rsid w:val="00B6382F"/>
    <w:rsid w:val="00B638CB"/>
    <w:rsid w:val="00B64F67"/>
    <w:rsid w:val="00B65245"/>
    <w:rsid w:val="00B6526C"/>
    <w:rsid w:val="00B65BB5"/>
    <w:rsid w:val="00B673A6"/>
    <w:rsid w:val="00B6796F"/>
    <w:rsid w:val="00B67AA6"/>
    <w:rsid w:val="00B70B47"/>
    <w:rsid w:val="00B718A5"/>
    <w:rsid w:val="00B731F8"/>
    <w:rsid w:val="00B7386E"/>
    <w:rsid w:val="00B73CC2"/>
    <w:rsid w:val="00B73FA0"/>
    <w:rsid w:val="00B7438A"/>
    <w:rsid w:val="00B752AF"/>
    <w:rsid w:val="00B75994"/>
    <w:rsid w:val="00B75BF1"/>
    <w:rsid w:val="00B7713E"/>
    <w:rsid w:val="00B77E0F"/>
    <w:rsid w:val="00B80212"/>
    <w:rsid w:val="00B8040F"/>
    <w:rsid w:val="00B80852"/>
    <w:rsid w:val="00B80D8C"/>
    <w:rsid w:val="00B81548"/>
    <w:rsid w:val="00B82033"/>
    <w:rsid w:val="00B82709"/>
    <w:rsid w:val="00B82C5D"/>
    <w:rsid w:val="00B82D68"/>
    <w:rsid w:val="00B8348C"/>
    <w:rsid w:val="00B84950"/>
    <w:rsid w:val="00B84B03"/>
    <w:rsid w:val="00B85489"/>
    <w:rsid w:val="00B85F73"/>
    <w:rsid w:val="00B87043"/>
    <w:rsid w:val="00B8776F"/>
    <w:rsid w:val="00B90205"/>
    <w:rsid w:val="00B905BE"/>
    <w:rsid w:val="00B91B7F"/>
    <w:rsid w:val="00B91CB9"/>
    <w:rsid w:val="00B92157"/>
    <w:rsid w:val="00B92411"/>
    <w:rsid w:val="00B925AD"/>
    <w:rsid w:val="00B926A7"/>
    <w:rsid w:val="00B92B96"/>
    <w:rsid w:val="00B92EA3"/>
    <w:rsid w:val="00B93910"/>
    <w:rsid w:val="00B9487E"/>
    <w:rsid w:val="00B94D45"/>
    <w:rsid w:val="00B9638D"/>
    <w:rsid w:val="00B96841"/>
    <w:rsid w:val="00B96D45"/>
    <w:rsid w:val="00B97250"/>
    <w:rsid w:val="00BA0137"/>
    <w:rsid w:val="00BA06B4"/>
    <w:rsid w:val="00BA0948"/>
    <w:rsid w:val="00BA0AC3"/>
    <w:rsid w:val="00BA1D30"/>
    <w:rsid w:val="00BA2261"/>
    <w:rsid w:val="00BA279B"/>
    <w:rsid w:val="00BA2949"/>
    <w:rsid w:val="00BA3F91"/>
    <w:rsid w:val="00BA4393"/>
    <w:rsid w:val="00BA49AD"/>
    <w:rsid w:val="00BA5570"/>
    <w:rsid w:val="00BA55DC"/>
    <w:rsid w:val="00BA57B4"/>
    <w:rsid w:val="00BA5B23"/>
    <w:rsid w:val="00BA6456"/>
    <w:rsid w:val="00BA6988"/>
    <w:rsid w:val="00BA74BC"/>
    <w:rsid w:val="00BB0340"/>
    <w:rsid w:val="00BB0C68"/>
    <w:rsid w:val="00BB112D"/>
    <w:rsid w:val="00BB1A4E"/>
    <w:rsid w:val="00BB1BF5"/>
    <w:rsid w:val="00BB22F9"/>
    <w:rsid w:val="00BB30F1"/>
    <w:rsid w:val="00BB3538"/>
    <w:rsid w:val="00BB3C2A"/>
    <w:rsid w:val="00BB3C5E"/>
    <w:rsid w:val="00BB4096"/>
    <w:rsid w:val="00BB43DE"/>
    <w:rsid w:val="00BB4467"/>
    <w:rsid w:val="00BB4778"/>
    <w:rsid w:val="00BB498D"/>
    <w:rsid w:val="00BB4C1F"/>
    <w:rsid w:val="00BB571A"/>
    <w:rsid w:val="00BB59E2"/>
    <w:rsid w:val="00BB5B17"/>
    <w:rsid w:val="00BB6187"/>
    <w:rsid w:val="00BB7537"/>
    <w:rsid w:val="00BB7D62"/>
    <w:rsid w:val="00BC1070"/>
    <w:rsid w:val="00BC1D9E"/>
    <w:rsid w:val="00BC1EDF"/>
    <w:rsid w:val="00BC227E"/>
    <w:rsid w:val="00BC2380"/>
    <w:rsid w:val="00BC2383"/>
    <w:rsid w:val="00BC28C9"/>
    <w:rsid w:val="00BC2E7D"/>
    <w:rsid w:val="00BC35FA"/>
    <w:rsid w:val="00BC3C03"/>
    <w:rsid w:val="00BC3C8C"/>
    <w:rsid w:val="00BC4FE9"/>
    <w:rsid w:val="00BC531C"/>
    <w:rsid w:val="00BC531E"/>
    <w:rsid w:val="00BC5831"/>
    <w:rsid w:val="00BC66E3"/>
    <w:rsid w:val="00BC6DA6"/>
    <w:rsid w:val="00BC72B2"/>
    <w:rsid w:val="00BC7AFC"/>
    <w:rsid w:val="00BD0B99"/>
    <w:rsid w:val="00BD0E36"/>
    <w:rsid w:val="00BD1649"/>
    <w:rsid w:val="00BD1895"/>
    <w:rsid w:val="00BD1F2A"/>
    <w:rsid w:val="00BD2F8B"/>
    <w:rsid w:val="00BD3450"/>
    <w:rsid w:val="00BD3B0C"/>
    <w:rsid w:val="00BD3D7C"/>
    <w:rsid w:val="00BD4381"/>
    <w:rsid w:val="00BD46BE"/>
    <w:rsid w:val="00BD4D87"/>
    <w:rsid w:val="00BD517E"/>
    <w:rsid w:val="00BD5ACC"/>
    <w:rsid w:val="00BD75F6"/>
    <w:rsid w:val="00BE07C9"/>
    <w:rsid w:val="00BE0C30"/>
    <w:rsid w:val="00BE17C2"/>
    <w:rsid w:val="00BE1CFD"/>
    <w:rsid w:val="00BE2176"/>
    <w:rsid w:val="00BE2448"/>
    <w:rsid w:val="00BE263A"/>
    <w:rsid w:val="00BE2B3D"/>
    <w:rsid w:val="00BE3084"/>
    <w:rsid w:val="00BE30E4"/>
    <w:rsid w:val="00BE3942"/>
    <w:rsid w:val="00BE455C"/>
    <w:rsid w:val="00BE4BBA"/>
    <w:rsid w:val="00BE53B9"/>
    <w:rsid w:val="00BE6705"/>
    <w:rsid w:val="00BE6D30"/>
    <w:rsid w:val="00BE6DAC"/>
    <w:rsid w:val="00BE6FF3"/>
    <w:rsid w:val="00BE7722"/>
    <w:rsid w:val="00BE7D3E"/>
    <w:rsid w:val="00BF025C"/>
    <w:rsid w:val="00BF0A85"/>
    <w:rsid w:val="00BF0C94"/>
    <w:rsid w:val="00BF1A06"/>
    <w:rsid w:val="00BF1BEF"/>
    <w:rsid w:val="00BF2446"/>
    <w:rsid w:val="00BF2CD4"/>
    <w:rsid w:val="00BF33C3"/>
    <w:rsid w:val="00BF3C7A"/>
    <w:rsid w:val="00BF45A2"/>
    <w:rsid w:val="00BF64DC"/>
    <w:rsid w:val="00BF6FE8"/>
    <w:rsid w:val="00BF7913"/>
    <w:rsid w:val="00BF7A7F"/>
    <w:rsid w:val="00BF7BD7"/>
    <w:rsid w:val="00C0026F"/>
    <w:rsid w:val="00C0125E"/>
    <w:rsid w:val="00C01847"/>
    <w:rsid w:val="00C0232F"/>
    <w:rsid w:val="00C03098"/>
    <w:rsid w:val="00C0315A"/>
    <w:rsid w:val="00C03444"/>
    <w:rsid w:val="00C03462"/>
    <w:rsid w:val="00C034D8"/>
    <w:rsid w:val="00C03599"/>
    <w:rsid w:val="00C03B3D"/>
    <w:rsid w:val="00C04872"/>
    <w:rsid w:val="00C04DE6"/>
    <w:rsid w:val="00C05487"/>
    <w:rsid w:val="00C059BE"/>
    <w:rsid w:val="00C060CC"/>
    <w:rsid w:val="00C10A79"/>
    <w:rsid w:val="00C10ED3"/>
    <w:rsid w:val="00C110CB"/>
    <w:rsid w:val="00C1121C"/>
    <w:rsid w:val="00C1222C"/>
    <w:rsid w:val="00C127B0"/>
    <w:rsid w:val="00C142F4"/>
    <w:rsid w:val="00C14D9F"/>
    <w:rsid w:val="00C14FCE"/>
    <w:rsid w:val="00C15077"/>
    <w:rsid w:val="00C151A8"/>
    <w:rsid w:val="00C1589E"/>
    <w:rsid w:val="00C15B29"/>
    <w:rsid w:val="00C15D2A"/>
    <w:rsid w:val="00C15F0F"/>
    <w:rsid w:val="00C16582"/>
    <w:rsid w:val="00C169CC"/>
    <w:rsid w:val="00C171FE"/>
    <w:rsid w:val="00C172A0"/>
    <w:rsid w:val="00C179EC"/>
    <w:rsid w:val="00C17FBB"/>
    <w:rsid w:val="00C206FD"/>
    <w:rsid w:val="00C20AFB"/>
    <w:rsid w:val="00C2120C"/>
    <w:rsid w:val="00C2190B"/>
    <w:rsid w:val="00C21E54"/>
    <w:rsid w:val="00C2509E"/>
    <w:rsid w:val="00C25630"/>
    <w:rsid w:val="00C26B73"/>
    <w:rsid w:val="00C26F1A"/>
    <w:rsid w:val="00C270CB"/>
    <w:rsid w:val="00C273CA"/>
    <w:rsid w:val="00C30767"/>
    <w:rsid w:val="00C30942"/>
    <w:rsid w:val="00C30961"/>
    <w:rsid w:val="00C30DE1"/>
    <w:rsid w:val="00C323EA"/>
    <w:rsid w:val="00C32984"/>
    <w:rsid w:val="00C336F7"/>
    <w:rsid w:val="00C34BAD"/>
    <w:rsid w:val="00C35400"/>
    <w:rsid w:val="00C35DF0"/>
    <w:rsid w:val="00C36A6E"/>
    <w:rsid w:val="00C371E1"/>
    <w:rsid w:val="00C377F6"/>
    <w:rsid w:val="00C37E06"/>
    <w:rsid w:val="00C406BB"/>
    <w:rsid w:val="00C40D5F"/>
    <w:rsid w:val="00C41037"/>
    <w:rsid w:val="00C422D0"/>
    <w:rsid w:val="00C4267E"/>
    <w:rsid w:val="00C428D2"/>
    <w:rsid w:val="00C42BF8"/>
    <w:rsid w:val="00C42D5C"/>
    <w:rsid w:val="00C43CF5"/>
    <w:rsid w:val="00C440F1"/>
    <w:rsid w:val="00C44C86"/>
    <w:rsid w:val="00C45100"/>
    <w:rsid w:val="00C45107"/>
    <w:rsid w:val="00C45928"/>
    <w:rsid w:val="00C45C84"/>
    <w:rsid w:val="00C466C8"/>
    <w:rsid w:val="00C4676B"/>
    <w:rsid w:val="00C46CB7"/>
    <w:rsid w:val="00C46E90"/>
    <w:rsid w:val="00C531D9"/>
    <w:rsid w:val="00C54F88"/>
    <w:rsid w:val="00C556D2"/>
    <w:rsid w:val="00C55E10"/>
    <w:rsid w:val="00C55FCC"/>
    <w:rsid w:val="00C56563"/>
    <w:rsid w:val="00C56ECA"/>
    <w:rsid w:val="00C57005"/>
    <w:rsid w:val="00C57A9B"/>
    <w:rsid w:val="00C61043"/>
    <w:rsid w:val="00C6107D"/>
    <w:rsid w:val="00C6109B"/>
    <w:rsid w:val="00C616D0"/>
    <w:rsid w:val="00C61823"/>
    <w:rsid w:val="00C6185D"/>
    <w:rsid w:val="00C62C74"/>
    <w:rsid w:val="00C62F84"/>
    <w:rsid w:val="00C63125"/>
    <w:rsid w:val="00C63E25"/>
    <w:rsid w:val="00C647B4"/>
    <w:rsid w:val="00C65586"/>
    <w:rsid w:val="00C65BBD"/>
    <w:rsid w:val="00C66238"/>
    <w:rsid w:val="00C6790E"/>
    <w:rsid w:val="00C7015D"/>
    <w:rsid w:val="00C710F2"/>
    <w:rsid w:val="00C715D0"/>
    <w:rsid w:val="00C727A8"/>
    <w:rsid w:val="00C72D6A"/>
    <w:rsid w:val="00C730F3"/>
    <w:rsid w:val="00C73AFF"/>
    <w:rsid w:val="00C73CD6"/>
    <w:rsid w:val="00C73D52"/>
    <w:rsid w:val="00C7590C"/>
    <w:rsid w:val="00C76035"/>
    <w:rsid w:val="00C77389"/>
    <w:rsid w:val="00C80560"/>
    <w:rsid w:val="00C810BD"/>
    <w:rsid w:val="00C812B7"/>
    <w:rsid w:val="00C818AC"/>
    <w:rsid w:val="00C819ED"/>
    <w:rsid w:val="00C81B06"/>
    <w:rsid w:val="00C8201F"/>
    <w:rsid w:val="00C82470"/>
    <w:rsid w:val="00C8292A"/>
    <w:rsid w:val="00C82C85"/>
    <w:rsid w:val="00C8323E"/>
    <w:rsid w:val="00C845C0"/>
    <w:rsid w:val="00C84BA5"/>
    <w:rsid w:val="00C85054"/>
    <w:rsid w:val="00C85C09"/>
    <w:rsid w:val="00C8610C"/>
    <w:rsid w:val="00C8771F"/>
    <w:rsid w:val="00C90477"/>
    <w:rsid w:val="00C908D8"/>
    <w:rsid w:val="00C91871"/>
    <w:rsid w:val="00C9190E"/>
    <w:rsid w:val="00C92ACC"/>
    <w:rsid w:val="00C92ADB"/>
    <w:rsid w:val="00C94A91"/>
    <w:rsid w:val="00C95066"/>
    <w:rsid w:val="00C95646"/>
    <w:rsid w:val="00C95E00"/>
    <w:rsid w:val="00C96D33"/>
    <w:rsid w:val="00C96D7B"/>
    <w:rsid w:val="00C96F44"/>
    <w:rsid w:val="00CA01FF"/>
    <w:rsid w:val="00CA0580"/>
    <w:rsid w:val="00CA05CA"/>
    <w:rsid w:val="00CA1055"/>
    <w:rsid w:val="00CA15E5"/>
    <w:rsid w:val="00CA1800"/>
    <w:rsid w:val="00CA1D93"/>
    <w:rsid w:val="00CA2B07"/>
    <w:rsid w:val="00CA35F6"/>
    <w:rsid w:val="00CA4275"/>
    <w:rsid w:val="00CA4F15"/>
    <w:rsid w:val="00CA52E2"/>
    <w:rsid w:val="00CA572D"/>
    <w:rsid w:val="00CA57DC"/>
    <w:rsid w:val="00CA59A6"/>
    <w:rsid w:val="00CA7B05"/>
    <w:rsid w:val="00CB0755"/>
    <w:rsid w:val="00CB07D7"/>
    <w:rsid w:val="00CB0AE8"/>
    <w:rsid w:val="00CB0C61"/>
    <w:rsid w:val="00CB0DB8"/>
    <w:rsid w:val="00CB1BBB"/>
    <w:rsid w:val="00CB2DF5"/>
    <w:rsid w:val="00CB3175"/>
    <w:rsid w:val="00CB3B13"/>
    <w:rsid w:val="00CB3DB9"/>
    <w:rsid w:val="00CB4154"/>
    <w:rsid w:val="00CB4FD3"/>
    <w:rsid w:val="00CB6205"/>
    <w:rsid w:val="00CB627E"/>
    <w:rsid w:val="00CB6BCD"/>
    <w:rsid w:val="00CB7299"/>
    <w:rsid w:val="00CB745B"/>
    <w:rsid w:val="00CB7C2A"/>
    <w:rsid w:val="00CB7D49"/>
    <w:rsid w:val="00CC1939"/>
    <w:rsid w:val="00CC1A36"/>
    <w:rsid w:val="00CC1B3E"/>
    <w:rsid w:val="00CC23B4"/>
    <w:rsid w:val="00CC259B"/>
    <w:rsid w:val="00CC25CA"/>
    <w:rsid w:val="00CC28BB"/>
    <w:rsid w:val="00CC336B"/>
    <w:rsid w:val="00CC3678"/>
    <w:rsid w:val="00CC3718"/>
    <w:rsid w:val="00CC4552"/>
    <w:rsid w:val="00CC53E6"/>
    <w:rsid w:val="00CC5837"/>
    <w:rsid w:val="00CC5A0E"/>
    <w:rsid w:val="00CC5FEC"/>
    <w:rsid w:val="00CC629C"/>
    <w:rsid w:val="00CC6B89"/>
    <w:rsid w:val="00CC7818"/>
    <w:rsid w:val="00CC7C02"/>
    <w:rsid w:val="00CD0333"/>
    <w:rsid w:val="00CD113F"/>
    <w:rsid w:val="00CD1617"/>
    <w:rsid w:val="00CD163B"/>
    <w:rsid w:val="00CD17B2"/>
    <w:rsid w:val="00CD1B6C"/>
    <w:rsid w:val="00CD1C16"/>
    <w:rsid w:val="00CD23E9"/>
    <w:rsid w:val="00CD2A42"/>
    <w:rsid w:val="00CD3D2F"/>
    <w:rsid w:val="00CD3E28"/>
    <w:rsid w:val="00CD4138"/>
    <w:rsid w:val="00CD417A"/>
    <w:rsid w:val="00CD4B61"/>
    <w:rsid w:val="00CD4DE7"/>
    <w:rsid w:val="00CD64DC"/>
    <w:rsid w:val="00CE0619"/>
    <w:rsid w:val="00CE0E33"/>
    <w:rsid w:val="00CE17E0"/>
    <w:rsid w:val="00CE2FDF"/>
    <w:rsid w:val="00CE3568"/>
    <w:rsid w:val="00CE37C3"/>
    <w:rsid w:val="00CE417C"/>
    <w:rsid w:val="00CE436C"/>
    <w:rsid w:val="00CE5DAC"/>
    <w:rsid w:val="00CF034F"/>
    <w:rsid w:val="00CF0C0D"/>
    <w:rsid w:val="00CF12A3"/>
    <w:rsid w:val="00CF28BA"/>
    <w:rsid w:val="00CF33BB"/>
    <w:rsid w:val="00CF3B7A"/>
    <w:rsid w:val="00CF3CA1"/>
    <w:rsid w:val="00CF42D1"/>
    <w:rsid w:val="00CF469A"/>
    <w:rsid w:val="00CF61D9"/>
    <w:rsid w:val="00CF65EC"/>
    <w:rsid w:val="00CF7204"/>
    <w:rsid w:val="00CF72F7"/>
    <w:rsid w:val="00CF7395"/>
    <w:rsid w:val="00CF793F"/>
    <w:rsid w:val="00CF7D01"/>
    <w:rsid w:val="00CF7FBF"/>
    <w:rsid w:val="00D0028F"/>
    <w:rsid w:val="00D00BC7"/>
    <w:rsid w:val="00D01132"/>
    <w:rsid w:val="00D01683"/>
    <w:rsid w:val="00D01CAD"/>
    <w:rsid w:val="00D01D51"/>
    <w:rsid w:val="00D01E70"/>
    <w:rsid w:val="00D01ECC"/>
    <w:rsid w:val="00D02037"/>
    <w:rsid w:val="00D03F91"/>
    <w:rsid w:val="00D043B1"/>
    <w:rsid w:val="00D045C0"/>
    <w:rsid w:val="00D04DB3"/>
    <w:rsid w:val="00D05894"/>
    <w:rsid w:val="00D1065F"/>
    <w:rsid w:val="00D1117E"/>
    <w:rsid w:val="00D120C3"/>
    <w:rsid w:val="00D130F3"/>
    <w:rsid w:val="00D141C5"/>
    <w:rsid w:val="00D14B2A"/>
    <w:rsid w:val="00D14CF8"/>
    <w:rsid w:val="00D14D9A"/>
    <w:rsid w:val="00D1546C"/>
    <w:rsid w:val="00D155C0"/>
    <w:rsid w:val="00D15BA2"/>
    <w:rsid w:val="00D16E31"/>
    <w:rsid w:val="00D17091"/>
    <w:rsid w:val="00D17E54"/>
    <w:rsid w:val="00D2001B"/>
    <w:rsid w:val="00D2029F"/>
    <w:rsid w:val="00D20ADA"/>
    <w:rsid w:val="00D20C5A"/>
    <w:rsid w:val="00D21554"/>
    <w:rsid w:val="00D21D10"/>
    <w:rsid w:val="00D22211"/>
    <w:rsid w:val="00D224F6"/>
    <w:rsid w:val="00D22631"/>
    <w:rsid w:val="00D22CEB"/>
    <w:rsid w:val="00D23369"/>
    <w:rsid w:val="00D2396F"/>
    <w:rsid w:val="00D2419E"/>
    <w:rsid w:val="00D242D8"/>
    <w:rsid w:val="00D244FE"/>
    <w:rsid w:val="00D24E76"/>
    <w:rsid w:val="00D2588B"/>
    <w:rsid w:val="00D2618D"/>
    <w:rsid w:val="00D26278"/>
    <w:rsid w:val="00D267A6"/>
    <w:rsid w:val="00D268C4"/>
    <w:rsid w:val="00D26ACB"/>
    <w:rsid w:val="00D273A1"/>
    <w:rsid w:val="00D27738"/>
    <w:rsid w:val="00D27F7C"/>
    <w:rsid w:val="00D309BA"/>
    <w:rsid w:val="00D31024"/>
    <w:rsid w:val="00D313B7"/>
    <w:rsid w:val="00D31A97"/>
    <w:rsid w:val="00D31E55"/>
    <w:rsid w:val="00D323B9"/>
    <w:rsid w:val="00D32899"/>
    <w:rsid w:val="00D32EC6"/>
    <w:rsid w:val="00D33C55"/>
    <w:rsid w:val="00D35354"/>
    <w:rsid w:val="00D35A98"/>
    <w:rsid w:val="00D35C08"/>
    <w:rsid w:val="00D35DC7"/>
    <w:rsid w:val="00D36157"/>
    <w:rsid w:val="00D3715C"/>
    <w:rsid w:val="00D373B5"/>
    <w:rsid w:val="00D378B0"/>
    <w:rsid w:val="00D408DA"/>
    <w:rsid w:val="00D40BA1"/>
    <w:rsid w:val="00D43691"/>
    <w:rsid w:val="00D439D7"/>
    <w:rsid w:val="00D44325"/>
    <w:rsid w:val="00D456D1"/>
    <w:rsid w:val="00D458FB"/>
    <w:rsid w:val="00D45F89"/>
    <w:rsid w:val="00D46340"/>
    <w:rsid w:val="00D46B50"/>
    <w:rsid w:val="00D46C14"/>
    <w:rsid w:val="00D47437"/>
    <w:rsid w:val="00D47479"/>
    <w:rsid w:val="00D4794B"/>
    <w:rsid w:val="00D50133"/>
    <w:rsid w:val="00D50916"/>
    <w:rsid w:val="00D509C9"/>
    <w:rsid w:val="00D512FB"/>
    <w:rsid w:val="00D514F4"/>
    <w:rsid w:val="00D52088"/>
    <w:rsid w:val="00D52865"/>
    <w:rsid w:val="00D52C99"/>
    <w:rsid w:val="00D53A2B"/>
    <w:rsid w:val="00D54169"/>
    <w:rsid w:val="00D54783"/>
    <w:rsid w:val="00D54EE3"/>
    <w:rsid w:val="00D55068"/>
    <w:rsid w:val="00D555B4"/>
    <w:rsid w:val="00D5573E"/>
    <w:rsid w:val="00D55837"/>
    <w:rsid w:val="00D55C59"/>
    <w:rsid w:val="00D574FE"/>
    <w:rsid w:val="00D614A9"/>
    <w:rsid w:val="00D636D4"/>
    <w:rsid w:val="00D6434C"/>
    <w:rsid w:val="00D64755"/>
    <w:rsid w:val="00D65601"/>
    <w:rsid w:val="00D659C6"/>
    <w:rsid w:val="00D6606A"/>
    <w:rsid w:val="00D67FE6"/>
    <w:rsid w:val="00D709EE"/>
    <w:rsid w:val="00D71428"/>
    <w:rsid w:val="00D720CF"/>
    <w:rsid w:val="00D724BF"/>
    <w:rsid w:val="00D736F6"/>
    <w:rsid w:val="00D749A9"/>
    <w:rsid w:val="00D749B1"/>
    <w:rsid w:val="00D74CB4"/>
    <w:rsid w:val="00D7555A"/>
    <w:rsid w:val="00D76683"/>
    <w:rsid w:val="00D80C1F"/>
    <w:rsid w:val="00D81801"/>
    <w:rsid w:val="00D8249E"/>
    <w:rsid w:val="00D834D7"/>
    <w:rsid w:val="00D83616"/>
    <w:rsid w:val="00D855DC"/>
    <w:rsid w:val="00D85B81"/>
    <w:rsid w:val="00D85D51"/>
    <w:rsid w:val="00D86792"/>
    <w:rsid w:val="00D86E18"/>
    <w:rsid w:val="00D90103"/>
    <w:rsid w:val="00D9082F"/>
    <w:rsid w:val="00D91852"/>
    <w:rsid w:val="00D92C2C"/>
    <w:rsid w:val="00D92DBC"/>
    <w:rsid w:val="00D93A62"/>
    <w:rsid w:val="00D944DC"/>
    <w:rsid w:val="00D967D9"/>
    <w:rsid w:val="00D96C7D"/>
    <w:rsid w:val="00D97342"/>
    <w:rsid w:val="00D97CC1"/>
    <w:rsid w:val="00DA0914"/>
    <w:rsid w:val="00DA09F9"/>
    <w:rsid w:val="00DA0D5B"/>
    <w:rsid w:val="00DA30B6"/>
    <w:rsid w:val="00DA3905"/>
    <w:rsid w:val="00DA4581"/>
    <w:rsid w:val="00DA677B"/>
    <w:rsid w:val="00DA7435"/>
    <w:rsid w:val="00DA7A12"/>
    <w:rsid w:val="00DB01EC"/>
    <w:rsid w:val="00DB035D"/>
    <w:rsid w:val="00DB07BB"/>
    <w:rsid w:val="00DB0896"/>
    <w:rsid w:val="00DB1063"/>
    <w:rsid w:val="00DB14EB"/>
    <w:rsid w:val="00DB172E"/>
    <w:rsid w:val="00DB30C6"/>
    <w:rsid w:val="00DB3ADE"/>
    <w:rsid w:val="00DB3FAC"/>
    <w:rsid w:val="00DB4069"/>
    <w:rsid w:val="00DB49F4"/>
    <w:rsid w:val="00DB4B98"/>
    <w:rsid w:val="00DB5BF6"/>
    <w:rsid w:val="00DB5DA7"/>
    <w:rsid w:val="00DB61C2"/>
    <w:rsid w:val="00DB69EA"/>
    <w:rsid w:val="00DB7FB2"/>
    <w:rsid w:val="00DC0BF0"/>
    <w:rsid w:val="00DC1016"/>
    <w:rsid w:val="00DC1225"/>
    <w:rsid w:val="00DC13AD"/>
    <w:rsid w:val="00DC1614"/>
    <w:rsid w:val="00DC19C2"/>
    <w:rsid w:val="00DC1C19"/>
    <w:rsid w:val="00DC2590"/>
    <w:rsid w:val="00DC31CB"/>
    <w:rsid w:val="00DC3C3E"/>
    <w:rsid w:val="00DC43E5"/>
    <w:rsid w:val="00DC4A2E"/>
    <w:rsid w:val="00DC4C1B"/>
    <w:rsid w:val="00DC5501"/>
    <w:rsid w:val="00DC599E"/>
    <w:rsid w:val="00DC5BA9"/>
    <w:rsid w:val="00DC642F"/>
    <w:rsid w:val="00DC6A17"/>
    <w:rsid w:val="00DC6D86"/>
    <w:rsid w:val="00DC7010"/>
    <w:rsid w:val="00DC75A2"/>
    <w:rsid w:val="00DD1B6D"/>
    <w:rsid w:val="00DD221D"/>
    <w:rsid w:val="00DD43E1"/>
    <w:rsid w:val="00DD4D46"/>
    <w:rsid w:val="00DD5BCC"/>
    <w:rsid w:val="00DD62B3"/>
    <w:rsid w:val="00DD6488"/>
    <w:rsid w:val="00DD68AB"/>
    <w:rsid w:val="00DD695B"/>
    <w:rsid w:val="00DD76C3"/>
    <w:rsid w:val="00DD77D7"/>
    <w:rsid w:val="00DD7C4B"/>
    <w:rsid w:val="00DE074D"/>
    <w:rsid w:val="00DE1134"/>
    <w:rsid w:val="00DE13E3"/>
    <w:rsid w:val="00DE1C25"/>
    <w:rsid w:val="00DE2109"/>
    <w:rsid w:val="00DE275B"/>
    <w:rsid w:val="00DE2A22"/>
    <w:rsid w:val="00DE2CB2"/>
    <w:rsid w:val="00DE3330"/>
    <w:rsid w:val="00DE3EA8"/>
    <w:rsid w:val="00DE4120"/>
    <w:rsid w:val="00DE4A8B"/>
    <w:rsid w:val="00DE4AEA"/>
    <w:rsid w:val="00DE4DBB"/>
    <w:rsid w:val="00DE5720"/>
    <w:rsid w:val="00DE57DB"/>
    <w:rsid w:val="00DE5CEF"/>
    <w:rsid w:val="00DE6024"/>
    <w:rsid w:val="00DE7A0F"/>
    <w:rsid w:val="00DE7C6A"/>
    <w:rsid w:val="00DF0B36"/>
    <w:rsid w:val="00DF0E60"/>
    <w:rsid w:val="00DF0F08"/>
    <w:rsid w:val="00DF1306"/>
    <w:rsid w:val="00DF1727"/>
    <w:rsid w:val="00DF1984"/>
    <w:rsid w:val="00DF2334"/>
    <w:rsid w:val="00DF270E"/>
    <w:rsid w:val="00DF2736"/>
    <w:rsid w:val="00DF3F45"/>
    <w:rsid w:val="00DF3F47"/>
    <w:rsid w:val="00DF4069"/>
    <w:rsid w:val="00DF42FC"/>
    <w:rsid w:val="00DF47D4"/>
    <w:rsid w:val="00DF48D2"/>
    <w:rsid w:val="00DF49AD"/>
    <w:rsid w:val="00DF4D06"/>
    <w:rsid w:val="00DF55E7"/>
    <w:rsid w:val="00DF6267"/>
    <w:rsid w:val="00DF65DB"/>
    <w:rsid w:val="00DF6FDA"/>
    <w:rsid w:val="00DF70B7"/>
    <w:rsid w:val="00E00380"/>
    <w:rsid w:val="00E005A9"/>
    <w:rsid w:val="00E00868"/>
    <w:rsid w:val="00E013E9"/>
    <w:rsid w:val="00E01FC4"/>
    <w:rsid w:val="00E02165"/>
    <w:rsid w:val="00E0220B"/>
    <w:rsid w:val="00E03965"/>
    <w:rsid w:val="00E041F2"/>
    <w:rsid w:val="00E04805"/>
    <w:rsid w:val="00E0568D"/>
    <w:rsid w:val="00E05BC4"/>
    <w:rsid w:val="00E05FA2"/>
    <w:rsid w:val="00E06AB5"/>
    <w:rsid w:val="00E06C14"/>
    <w:rsid w:val="00E06E56"/>
    <w:rsid w:val="00E07BD1"/>
    <w:rsid w:val="00E07D21"/>
    <w:rsid w:val="00E07F89"/>
    <w:rsid w:val="00E1051E"/>
    <w:rsid w:val="00E11750"/>
    <w:rsid w:val="00E11C35"/>
    <w:rsid w:val="00E11CCC"/>
    <w:rsid w:val="00E11DDE"/>
    <w:rsid w:val="00E13902"/>
    <w:rsid w:val="00E15361"/>
    <w:rsid w:val="00E15BE9"/>
    <w:rsid w:val="00E17220"/>
    <w:rsid w:val="00E20041"/>
    <w:rsid w:val="00E2006A"/>
    <w:rsid w:val="00E2069D"/>
    <w:rsid w:val="00E20EE6"/>
    <w:rsid w:val="00E219AC"/>
    <w:rsid w:val="00E219CD"/>
    <w:rsid w:val="00E22691"/>
    <w:rsid w:val="00E22A37"/>
    <w:rsid w:val="00E22EE0"/>
    <w:rsid w:val="00E24332"/>
    <w:rsid w:val="00E24569"/>
    <w:rsid w:val="00E24798"/>
    <w:rsid w:val="00E25B66"/>
    <w:rsid w:val="00E26212"/>
    <w:rsid w:val="00E263F4"/>
    <w:rsid w:val="00E27242"/>
    <w:rsid w:val="00E273F7"/>
    <w:rsid w:val="00E279F6"/>
    <w:rsid w:val="00E27F3D"/>
    <w:rsid w:val="00E316AA"/>
    <w:rsid w:val="00E3183F"/>
    <w:rsid w:val="00E320B5"/>
    <w:rsid w:val="00E32AC5"/>
    <w:rsid w:val="00E33787"/>
    <w:rsid w:val="00E34895"/>
    <w:rsid w:val="00E34A25"/>
    <w:rsid w:val="00E35555"/>
    <w:rsid w:val="00E35C82"/>
    <w:rsid w:val="00E366CE"/>
    <w:rsid w:val="00E36E0C"/>
    <w:rsid w:val="00E400D4"/>
    <w:rsid w:val="00E413D3"/>
    <w:rsid w:val="00E41634"/>
    <w:rsid w:val="00E41EC7"/>
    <w:rsid w:val="00E449D1"/>
    <w:rsid w:val="00E45AA6"/>
    <w:rsid w:val="00E45D58"/>
    <w:rsid w:val="00E45EB5"/>
    <w:rsid w:val="00E46207"/>
    <w:rsid w:val="00E4639F"/>
    <w:rsid w:val="00E4642C"/>
    <w:rsid w:val="00E46FC7"/>
    <w:rsid w:val="00E505C8"/>
    <w:rsid w:val="00E50AAB"/>
    <w:rsid w:val="00E51166"/>
    <w:rsid w:val="00E527CF"/>
    <w:rsid w:val="00E527E1"/>
    <w:rsid w:val="00E529D5"/>
    <w:rsid w:val="00E52E85"/>
    <w:rsid w:val="00E55099"/>
    <w:rsid w:val="00E5549F"/>
    <w:rsid w:val="00E5573F"/>
    <w:rsid w:val="00E56380"/>
    <w:rsid w:val="00E56995"/>
    <w:rsid w:val="00E56DD9"/>
    <w:rsid w:val="00E56FD0"/>
    <w:rsid w:val="00E57613"/>
    <w:rsid w:val="00E57F0E"/>
    <w:rsid w:val="00E60D17"/>
    <w:rsid w:val="00E60DAC"/>
    <w:rsid w:val="00E6130B"/>
    <w:rsid w:val="00E621AB"/>
    <w:rsid w:val="00E63D86"/>
    <w:rsid w:val="00E63E39"/>
    <w:rsid w:val="00E65A0B"/>
    <w:rsid w:val="00E66CB6"/>
    <w:rsid w:val="00E66DBE"/>
    <w:rsid w:val="00E6715E"/>
    <w:rsid w:val="00E716D7"/>
    <w:rsid w:val="00E723B2"/>
    <w:rsid w:val="00E72996"/>
    <w:rsid w:val="00E72CE7"/>
    <w:rsid w:val="00E73070"/>
    <w:rsid w:val="00E73198"/>
    <w:rsid w:val="00E73335"/>
    <w:rsid w:val="00E74220"/>
    <w:rsid w:val="00E7454F"/>
    <w:rsid w:val="00E7475B"/>
    <w:rsid w:val="00E74BAD"/>
    <w:rsid w:val="00E74D89"/>
    <w:rsid w:val="00E7520C"/>
    <w:rsid w:val="00E758A1"/>
    <w:rsid w:val="00E7676E"/>
    <w:rsid w:val="00E77879"/>
    <w:rsid w:val="00E77CF9"/>
    <w:rsid w:val="00E808F9"/>
    <w:rsid w:val="00E824A9"/>
    <w:rsid w:val="00E825A3"/>
    <w:rsid w:val="00E82DDD"/>
    <w:rsid w:val="00E833AD"/>
    <w:rsid w:val="00E849B8"/>
    <w:rsid w:val="00E855E0"/>
    <w:rsid w:val="00E867B3"/>
    <w:rsid w:val="00E90026"/>
    <w:rsid w:val="00E90EDB"/>
    <w:rsid w:val="00E91459"/>
    <w:rsid w:val="00E9175A"/>
    <w:rsid w:val="00E91BAD"/>
    <w:rsid w:val="00E92383"/>
    <w:rsid w:val="00E926A2"/>
    <w:rsid w:val="00E92809"/>
    <w:rsid w:val="00E931BE"/>
    <w:rsid w:val="00E93436"/>
    <w:rsid w:val="00E93AAF"/>
    <w:rsid w:val="00E946A6"/>
    <w:rsid w:val="00E94B4A"/>
    <w:rsid w:val="00E94D13"/>
    <w:rsid w:val="00E94D52"/>
    <w:rsid w:val="00E94EEE"/>
    <w:rsid w:val="00E950C0"/>
    <w:rsid w:val="00E95943"/>
    <w:rsid w:val="00E969D0"/>
    <w:rsid w:val="00E96CDB"/>
    <w:rsid w:val="00E974B6"/>
    <w:rsid w:val="00E97544"/>
    <w:rsid w:val="00E97E2C"/>
    <w:rsid w:val="00EA1115"/>
    <w:rsid w:val="00EA1476"/>
    <w:rsid w:val="00EA1F2D"/>
    <w:rsid w:val="00EA20EA"/>
    <w:rsid w:val="00EA26F8"/>
    <w:rsid w:val="00EA3400"/>
    <w:rsid w:val="00EA3650"/>
    <w:rsid w:val="00EA40E2"/>
    <w:rsid w:val="00EA445F"/>
    <w:rsid w:val="00EA45D2"/>
    <w:rsid w:val="00EA4B32"/>
    <w:rsid w:val="00EA6037"/>
    <w:rsid w:val="00EA626D"/>
    <w:rsid w:val="00EA66C0"/>
    <w:rsid w:val="00EA67BB"/>
    <w:rsid w:val="00EA68A0"/>
    <w:rsid w:val="00EA7551"/>
    <w:rsid w:val="00EA75FB"/>
    <w:rsid w:val="00EA7EAF"/>
    <w:rsid w:val="00EB06DA"/>
    <w:rsid w:val="00EB13C5"/>
    <w:rsid w:val="00EB2709"/>
    <w:rsid w:val="00EB2ACD"/>
    <w:rsid w:val="00EB2C6C"/>
    <w:rsid w:val="00EB424B"/>
    <w:rsid w:val="00EB44E0"/>
    <w:rsid w:val="00EB4510"/>
    <w:rsid w:val="00EB5BF4"/>
    <w:rsid w:val="00EB6556"/>
    <w:rsid w:val="00EB6599"/>
    <w:rsid w:val="00EB65E1"/>
    <w:rsid w:val="00EB7C72"/>
    <w:rsid w:val="00EB7E05"/>
    <w:rsid w:val="00EC0E4D"/>
    <w:rsid w:val="00EC1F0E"/>
    <w:rsid w:val="00EC3330"/>
    <w:rsid w:val="00EC35B2"/>
    <w:rsid w:val="00EC35C7"/>
    <w:rsid w:val="00EC40F4"/>
    <w:rsid w:val="00EC46F9"/>
    <w:rsid w:val="00EC4B2F"/>
    <w:rsid w:val="00EC4F31"/>
    <w:rsid w:val="00EC5359"/>
    <w:rsid w:val="00EC5987"/>
    <w:rsid w:val="00EC5F50"/>
    <w:rsid w:val="00EC6838"/>
    <w:rsid w:val="00EC689B"/>
    <w:rsid w:val="00EC7A95"/>
    <w:rsid w:val="00ED033A"/>
    <w:rsid w:val="00ED0C96"/>
    <w:rsid w:val="00ED11E5"/>
    <w:rsid w:val="00ED28E7"/>
    <w:rsid w:val="00ED2CF5"/>
    <w:rsid w:val="00ED31F7"/>
    <w:rsid w:val="00ED35A7"/>
    <w:rsid w:val="00ED39EF"/>
    <w:rsid w:val="00ED46E5"/>
    <w:rsid w:val="00ED4D07"/>
    <w:rsid w:val="00ED4D92"/>
    <w:rsid w:val="00ED5D71"/>
    <w:rsid w:val="00ED6314"/>
    <w:rsid w:val="00ED6CF5"/>
    <w:rsid w:val="00ED6F17"/>
    <w:rsid w:val="00ED7364"/>
    <w:rsid w:val="00EE00FD"/>
    <w:rsid w:val="00EE10AF"/>
    <w:rsid w:val="00EE1883"/>
    <w:rsid w:val="00EE2474"/>
    <w:rsid w:val="00EE27E3"/>
    <w:rsid w:val="00EE29DA"/>
    <w:rsid w:val="00EE2B3E"/>
    <w:rsid w:val="00EE2E93"/>
    <w:rsid w:val="00EE32B0"/>
    <w:rsid w:val="00EE32BD"/>
    <w:rsid w:val="00EE40C6"/>
    <w:rsid w:val="00EE50E8"/>
    <w:rsid w:val="00EE5D60"/>
    <w:rsid w:val="00EE6589"/>
    <w:rsid w:val="00EE7235"/>
    <w:rsid w:val="00EE7292"/>
    <w:rsid w:val="00EE7717"/>
    <w:rsid w:val="00EE78DB"/>
    <w:rsid w:val="00EE7EDF"/>
    <w:rsid w:val="00EF0C4D"/>
    <w:rsid w:val="00EF1C40"/>
    <w:rsid w:val="00EF23C5"/>
    <w:rsid w:val="00EF370D"/>
    <w:rsid w:val="00EF4114"/>
    <w:rsid w:val="00EF605F"/>
    <w:rsid w:val="00F00123"/>
    <w:rsid w:val="00F00602"/>
    <w:rsid w:val="00F00B4F"/>
    <w:rsid w:val="00F01322"/>
    <w:rsid w:val="00F01595"/>
    <w:rsid w:val="00F022CF"/>
    <w:rsid w:val="00F02A65"/>
    <w:rsid w:val="00F02E84"/>
    <w:rsid w:val="00F033A4"/>
    <w:rsid w:val="00F039F2"/>
    <w:rsid w:val="00F05219"/>
    <w:rsid w:val="00F06D07"/>
    <w:rsid w:val="00F0748E"/>
    <w:rsid w:val="00F0769F"/>
    <w:rsid w:val="00F07B6B"/>
    <w:rsid w:val="00F07F3F"/>
    <w:rsid w:val="00F1084F"/>
    <w:rsid w:val="00F109A1"/>
    <w:rsid w:val="00F10B9B"/>
    <w:rsid w:val="00F10E92"/>
    <w:rsid w:val="00F11131"/>
    <w:rsid w:val="00F112ED"/>
    <w:rsid w:val="00F11394"/>
    <w:rsid w:val="00F11C72"/>
    <w:rsid w:val="00F125B7"/>
    <w:rsid w:val="00F13611"/>
    <w:rsid w:val="00F146E0"/>
    <w:rsid w:val="00F15028"/>
    <w:rsid w:val="00F164FE"/>
    <w:rsid w:val="00F1672D"/>
    <w:rsid w:val="00F16D69"/>
    <w:rsid w:val="00F1766F"/>
    <w:rsid w:val="00F179BD"/>
    <w:rsid w:val="00F2009F"/>
    <w:rsid w:val="00F2011C"/>
    <w:rsid w:val="00F20457"/>
    <w:rsid w:val="00F206BF"/>
    <w:rsid w:val="00F2160F"/>
    <w:rsid w:val="00F218D1"/>
    <w:rsid w:val="00F21A16"/>
    <w:rsid w:val="00F22C67"/>
    <w:rsid w:val="00F2317C"/>
    <w:rsid w:val="00F233D5"/>
    <w:rsid w:val="00F244FE"/>
    <w:rsid w:val="00F245EB"/>
    <w:rsid w:val="00F24644"/>
    <w:rsid w:val="00F24BF5"/>
    <w:rsid w:val="00F24E74"/>
    <w:rsid w:val="00F26004"/>
    <w:rsid w:val="00F26596"/>
    <w:rsid w:val="00F265F5"/>
    <w:rsid w:val="00F270AC"/>
    <w:rsid w:val="00F27517"/>
    <w:rsid w:val="00F27A53"/>
    <w:rsid w:val="00F27B0F"/>
    <w:rsid w:val="00F30024"/>
    <w:rsid w:val="00F30B9C"/>
    <w:rsid w:val="00F311F5"/>
    <w:rsid w:val="00F31C06"/>
    <w:rsid w:val="00F32677"/>
    <w:rsid w:val="00F32D1F"/>
    <w:rsid w:val="00F32ED8"/>
    <w:rsid w:val="00F34BB7"/>
    <w:rsid w:val="00F3543A"/>
    <w:rsid w:val="00F35A96"/>
    <w:rsid w:val="00F35DBF"/>
    <w:rsid w:val="00F35F28"/>
    <w:rsid w:val="00F36186"/>
    <w:rsid w:val="00F36329"/>
    <w:rsid w:val="00F3667E"/>
    <w:rsid w:val="00F379D2"/>
    <w:rsid w:val="00F37E91"/>
    <w:rsid w:val="00F402C2"/>
    <w:rsid w:val="00F408D8"/>
    <w:rsid w:val="00F412E8"/>
    <w:rsid w:val="00F41E13"/>
    <w:rsid w:val="00F41E6D"/>
    <w:rsid w:val="00F41EE8"/>
    <w:rsid w:val="00F427A0"/>
    <w:rsid w:val="00F432B9"/>
    <w:rsid w:val="00F43587"/>
    <w:rsid w:val="00F4364E"/>
    <w:rsid w:val="00F43C08"/>
    <w:rsid w:val="00F43DF0"/>
    <w:rsid w:val="00F44CD8"/>
    <w:rsid w:val="00F45931"/>
    <w:rsid w:val="00F46098"/>
    <w:rsid w:val="00F46614"/>
    <w:rsid w:val="00F46751"/>
    <w:rsid w:val="00F46BAE"/>
    <w:rsid w:val="00F46E6C"/>
    <w:rsid w:val="00F47015"/>
    <w:rsid w:val="00F47A1C"/>
    <w:rsid w:val="00F501AB"/>
    <w:rsid w:val="00F5026B"/>
    <w:rsid w:val="00F525F8"/>
    <w:rsid w:val="00F525FF"/>
    <w:rsid w:val="00F52B5D"/>
    <w:rsid w:val="00F5300F"/>
    <w:rsid w:val="00F53E76"/>
    <w:rsid w:val="00F53F7C"/>
    <w:rsid w:val="00F54C16"/>
    <w:rsid w:val="00F54E76"/>
    <w:rsid w:val="00F54FBB"/>
    <w:rsid w:val="00F552D8"/>
    <w:rsid w:val="00F55F2F"/>
    <w:rsid w:val="00F56749"/>
    <w:rsid w:val="00F56B41"/>
    <w:rsid w:val="00F56BD5"/>
    <w:rsid w:val="00F57E15"/>
    <w:rsid w:val="00F610EF"/>
    <w:rsid w:val="00F6148B"/>
    <w:rsid w:val="00F61807"/>
    <w:rsid w:val="00F6189A"/>
    <w:rsid w:val="00F61C86"/>
    <w:rsid w:val="00F620AA"/>
    <w:rsid w:val="00F62F91"/>
    <w:rsid w:val="00F63AA9"/>
    <w:rsid w:val="00F6466B"/>
    <w:rsid w:val="00F64D7E"/>
    <w:rsid w:val="00F64F75"/>
    <w:rsid w:val="00F65336"/>
    <w:rsid w:val="00F66413"/>
    <w:rsid w:val="00F665E9"/>
    <w:rsid w:val="00F66B3F"/>
    <w:rsid w:val="00F67175"/>
    <w:rsid w:val="00F676D8"/>
    <w:rsid w:val="00F67C98"/>
    <w:rsid w:val="00F67CB3"/>
    <w:rsid w:val="00F67F86"/>
    <w:rsid w:val="00F70146"/>
    <w:rsid w:val="00F70414"/>
    <w:rsid w:val="00F705CB"/>
    <w:rsid w:val="00F709FD"/>
    <w:rsid w:val="00F70C45"/>
    <w:rsid w:val="00F710EF"/>
    <w:rsid w:val="00F71769"/>
    <w:rsid w:val="00F71A64"/>
    <w:rsid w:val="00F72030"/>
    <w:rsid w:val="00F73E5A"/>
    <w:rsid w:val="00F73EE4"/>
    <w:rsid w:val="00F74FF2"/>
    <w:rsid w:val="00F75202"/>
    <w:rsid w:val="00F758D1"/>
    <w:rsid w:val="00F7612B"/>
    <w:rsid w:val="00F76E64"/>
    <w:rsid w:val="00F76F5B"/>
    <w:rsid w:val="00F7724E"/>
    <w:rsid w:val="00F773CA"/>
    <w:rsid w:val="00F77B3F"/>
    <w:rsid w:val="00F805A0"/>
    <w:rsid w:val="00F817D8"/>
    <w:rsid w:val="00F818A6"/>
    <w:rsid w:val="00F825FC"/>
    <w:rsid w:val="00F82FCF"/>
    <w:rsid w:val="00F83574"/>
    <w:rsid w:val="00F83F4A"/>
    <w:rsid w:val="00F843D4"/>
    <w:rsid w:val="00F85839"/>
    <w:rsid w:val="00F86E6F"/>
    <w:rsid w:val="00F86FD6"/>
    <w:rsid w:val="00F8725A"/>
    <w:rsid w:val="00F87362"/>
    <w:rsid w:val="00F875A5"/>
    <w:rsid w:val="00F87865"/>
    <w:rsid w:val="00F87A61"/>
    <w:rsid w:val="00F87B0E"/>
    <w:rsid w:val="00F87BC9"/>
    <w:rsid w:val="00F90661"/>
    <w:rsid w:val="00F90D59"/>
    <w:rsid w:val="00F91013"/>
    <w:rsid w:val="00F911C7"/>
    <w:rsid w:val="00F9135B"/>
    <w:rsid w:val="00F916A7"/>
    <w:rsid w:val="00F91759"/>
    <w:rsid w:val="00F91815"/>
    <w:rsid w:val="00F91880"/>
    <w:rsid w:val="00F91CE8"/>
    <w:rsid w:val="00F920DE"/>
    <w:rsid w:val="00F92384"/>
    <w:rsid w:val="00F92967"/>
    <w:rsid w:val="00F92C8D"/>
    <w:rsid w:val="00F93169"/>
    <w:rsid w:val="00F93AFA"/>
    <w:rsid w:val="00F946EF"/>
    <w:rsid w:val="00F94896"/>
    <w:rsid w:val="00F95056"/>
    <w:rsid w:val="00F95287"/>
    <w:rsid w:val="00F9569D"/>
    <w:rsid w:val="00F95A70"/>
    <w:rsid w:val="00F95CF6"/>
    <w:rsid w:val="00F964C8"/>
    <w:rsid w:val="00F96BB0"/>
    <w:rsid w:val="00F96C33"/>
    <w:rsid w:val="00F978C9"/>
    <w:rsid w:val="00F97F69"/>
    <w:rsid w:val="00FA0032"/>
    <w:rsid w:val="00FA0345"/>
    <w:rsid w:val="00FA0566"/>
    <w:rsid w:val="00FA27B8"/>
    <w:rsid w:val="00FA3264"/>
    <w:rsid w:val="00FA44CC"/>
    <w:rsid w:val="00FA464E"/>
    <w:rsid w:val="00FA4A4F"/>
    <w:rsid w:val="00FA4ECA"/>
    <w:rsid w:val="00FA5B64"/>
    <w:rsid w:val="00FA6C71"/>
    <w:rsid w:val="00FA739F"/>
    <w:rsid w:val="00FB0756"/>
    <w:rsid w:val="00FB15F7"/>
    <w:rsid w:val="00FB17B0"/>
    <w:rsid w:val="00FB1D21"/>
    <w:rsid w:val="00FB25B7"/>
    <w:rsid w:val="00FB32AF"/>
    <w:rsid w:val="00FB3D6D"/>
    <w:rsid w:val="00FB40B4"/>
    <w:rsid w:val="00FB422F"/>
    <w:rsid w:val="00FB498C"/>
    <w:rsid w:val="00FB4EF6"/>
    <w:rsid w:val="00FB5076"/>
    <w:rsid w:val="00FB5121"/>
    <w:rsid w:val="00FB54C6"/>
    <w:rsid w:val="00FB572B"/>
    <w:rsid w:val="00FB5A5A"/>
    <w:rsid w:val="00FB6DBC"/>
    <w:rsid w:val="00FB7CE8"/>
    <w:rsid w:val="00FC193B"/>
    <w:rsid w:val="00FC1A7B"/>
    <w:rsid w:val="00FC1C4C"/>
    <w:rsid w:val="00FC1FFA"/>
    <w:rsid w:val="00FC2183"/>
    <w:rsid w:val="00FC2609"/>
    <w:rsid w:val="00FC322A"/>
    <w:rsid w:val="00FC3A30"/>
    <w:rsid w:val="00FC46F1"/>
    <w:rsid w:val="00FC4764"/>
    <w:rsid w:val="00FC50C3"/>
    <w:rsid w:val="00FC579C"/>
    <w:rsid w:val="00FC5D7F"/>
    <w:rsid w:val="00FC5FF4"/>
    <w:rsid w:val="00FC6C13"/>
    <w:rsid w:val="00FC7A50"/>
    <w:rsid w:val="00FC7ACF"/>
    <w:rsid w:val="00FC7F5F"/>
    <w:rsid w:val="00FD0ED5"/>
    <w:rsid w:val="00FD10AF"/>
    <w:rsid w:val="00FD1DC5"/>
    <w:rsid w:val="00FD2314"/>
    <w:rsid w:val="00FD2AE0"/>
    <w:rsid w:val="00FD2B69"/>
    <w:rsid w:val="00FD325A"/>
    <w:rsid w:val="00FD3ACA"/>
    <w:rsid w:val="00FD4012"/>
    <w:rsid w:val="00FD410D"/>
    <w:rsid w:val="00FD4339"/>
    <w:rsid w:val="00FD4375"/>
    <w:rsid w:val="00FD4646"/>
    <w:rsid w:val="00FD56F8"/>
    <w:rsid w:val="00FD5F0D"/>
    <w:rsid w:val="00FD5FEE"/>
    <w:rsid w:val="00FD6446"/>
    <w:rsid w:val="00FD652C"/>
    <w:rsid w:val="00FD6DBA"/>
    <w:rsid w:val="00FD6DCF"/>
    <w:rsid w:val="00FD79BB"/>
    <w:rsid w:val="00FD7B61"/>
    <w:rsid w:val="00FE0093"/>
    <w:rsid w:val="00FE1216"/>
    <w:rsid w:val="00FE12B6"/>
    <w:rsid w:val="00FE12BB"/>
    <w:rsid w:val="00FE168B"/>
    <w:rsid w:val="00FE1AEA"/>
    <w:rsid w:val="00FE2BF3"/>
    <w:rsid w:val="00FE325D"/>
    <w:rsid w:val="00FE422D"/>
    <w:rsid w:val="00FE4684"/>
    <w:rsid w:val="00FE58A7"/>
    <w:rsid w:val="00FE5F42"/>
    <w:rsid w:val="00FE62D1"/>
    <w:rsid w:val="00FE62D6"/>
    <w:rsid w:val="00FE70DA"/>
    <w:rsid w:val="00FE7A1C"/>
    <w:rsid w:val="00FF00B7"/>
    <w:rsid w:val="00FF0283"/>
    <w:rsid w:val="00FF0B8D"/>
    <w:rsid w:val="00FF1038"/>
    <w:rsid w:val="00FF1586"/>
    <w:rsid w:val="00FF17C3"/>
    <w:rsid w:val="00FF1D33"/>
    <w:rsid w:val="00FF1DA0"/>
    <w:rsid w:val="00FF21C8"/>
    <w:rsid w:val="00FF28EC"/>
    <w:rsid w:val="00FF3A3A"/>
    <w:rsid w:val="00FF3D51"/>
    <w:rsid w:val="00FF3FE1"/>
    <w:rsid w:val="00FF4A3D"/>
    <w:rsid w:val="00FF4C20"/>
    <w:rsid w:val="00FF54BA"/>
    <w:rsid w:val="00FF5A80"/>
    <w:rsid w:val="00FF661A"/>
    <w:rsid w:val="00FF68C2"/>
    <w:rsid w:val="00FF6C51"/>
    <w:rsid w:val="00FF7484"/>
    <w:rsid w:val="00FF77C7"/>
    <w:rsid w:val="00FF7B27"/>
    <w:rsid w:val="01F72F51"/>
    <w:rsid w:val="03C14FC8"/>
    <w:rsid w:val="04B99424"/>
    <w:rsid w:val="04EEF2E1"/>
    <w:rsid w:val="0594D998"/>
    <w:rsid w:val="064A35FB"/>
    <w:rsid w:val="07CB2A75"/>
    <w:rsid w:val="0C11DD4E"/>
    <w:rsid w:val="0FB11FC8"/>
    <w:rsid w:val="10D10DCE"/>
    <w:rsid w:val="14E40A67"/>
    <w:rsid w:val="15D69367"/>
    <w:rsid w:val="18388E48"/>
    <w:rsid w:val="1B04095B"/>
    <w:rsid w:val="1C6C9BE1"/>
    <w:rsid w:val="1FAE3B80"/>
    <w:rsid w:val="207063B0"/>
    <w:rsid w:val="21663804"/>
    <w:rsid w:val="2297B2AE"/>
    <w:rsid w:val="24B04E99"/>
    <w:rsid w:val="25943591"/>
    <w:rsid w:val="259A645C"/>
    <w:rsid w:val="27218B0E"/>
    <w:rsid w:val="2B0CC9FE"/>
    <w:rsid w:val="2D80D541"/>
    <w:rsid w:val="2E4BC80A"/>
    <w:rsid w:val="3086D36D"/>
    <w:rsid w:val="330F906C"/>
    <w:rsid w:val="36303478"/>
    <w:rsid w:val="363F838A"/>
    <w:rsid w:val="38AE60E7"/>
    <w:rsid w:val="3DD07529"/>
    <w:rsid w:val="3F09FC92"/>
    <w:rsid w:val="4164938F"/>
    <w:rsid w:val="4304D961"/>
    <w:rsid w:val="43E14E27"/>
    <w:rsid w:val="47F2C10E"/>
    <w:rsid w:val="492D9E2E"/>
    <w:rsid w:val="49B5C968"/>
    <w:rsid w:val="4D36CB13"/>
    <w:rsid w:val="4E760C81"/>
    <w:rsid w:val="4EC91900"/>
    <w:rsid w:val="4F1D76E5"/>
    <w:rsid w:val="53B0FD17"/>
    <w:rsid w:val="54D5814F"/>
    <w:rsid w:val="5A5C62DF"/>
    <w:rsid w:val="5A6FB5DB"/>
    <w:rsid w:val="5ADF88F5"/>
    <w:rsid w:val="5B16BB5F"/>
    <w:rsid w:val="5C53977D"/>
    <w:rsid w:val="5F116E8B"/>
    <w:rsid w:val="5FB91CB8"/>
    <w:rsid w:val="5FCA526B"/>
    <w:rsid w:val="61C33704"/>
    <w:rsid w:val="61D47883"/>
    <w:rsid w:val="6254F4F0"/>
    <w:rsid w:val="65A237F6"/>
    <w:rsid w:val="688F7157"/>
    <w:rsid w:val="6B019BA6"/>
    <w:rsid w:val="6B2C14F6"/>
    <w:rsid w:val="6D3D37DB"/>
    <w:rsid w:val="721EC5B2"/>
    <w:rsid w:val="7237EA5F"/>
    <w:rsid w:val="747B1408"/>
    <w:rsid w:val="7903DB5F"/>
    <w:rsid w:val="792ACF81"/>
    <w:rsid w:val="7997D7CF"/>
    <w:rsid w:val="7B951363"/>
    <w:rsid w:val="7D04381A"/>
    <w:rsid w:val="7EB8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D41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35"/>
    <w:pPr>
      <w:spacing w:before="120" w:after="240" w:line="240" w:lineRule="auto"/>
    </w:pPr>
    <w:rPr>
      <w:rFonts w:ascii="Aptos" w:hAnsi="Aptos"/>
      <w:color w:val="565751"/>
      <w:sz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E11C35"/>
    <w:pPr>
      <w:outlineLvl w:val="0"/>
    </w:pPr>
    <w:rPr>
      <w:b w:val="0"/>
      <w:sz w:val="5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8E36B0"/>
    <w:pPr>
      <w:keepNext/>
      <w:keepLines/>
      <w:spacing w:before="240" w:after="120"/>
      <w:outlineLvl w:val="1"/>
    </w:pPr>
    <w:rPr>
      <w:rFonts w:eastAsiaTheme="majorEastAsia" w:cstheme="minorHAnsi"/>
      <w:b/>
      <w:color w:val="385623" w:themeColor="accent6" w:themeShade="80"/>
      <w:sz w:val="24"/>
      <w:lang w:eastAsia="en-AU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E36B0"/>
    <w:pPr>
      <w:keepNext/>
      <w:keepLines/>
      <w:spacing w:after="120"/>
      <w:outlineLvl w:val="2"/>
    </w:pPr>
    <w:rPr>
      <w:rFonts w:eastAsiaTheme="majorEastAsia" w:cstheme="majorBidi"/>
      <w:b/>
      <w:iCs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2302"/>
    <w:pPr>
      <w:keepNext/>
      <w:keepLines/>
      <w:outlineLvl w:val="3"/>
    </w:pPr>
    <w:rPr>
      <w:rFonts w:eastAsiaTheme="majorEastAsia" w:cstheme="majorBidi"/>
      <w:color w:val="385623" w:themeColor="accent6" w:themeShade="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22">
    <w:name w:val="Green 22"/>
    <w:basedOn w:val="Heading1"/>
    <w:link w:val="Green22Char"/>
    <w:autoRedefine/>
    <w:rsid w:val="00794A12"/>
    <w:pPr>
      <w:spacing w:before="0"/>
    </w:pPr>
    <w:rPr>
      <w:b/>
      <w:color w:val="538135" w:themeColor="accent6" w:themeShade="BF"/>
    </w:rPr>
  </w:style>
  <w:style w:type="character" w:customStyle="1" w:styleId="Green22Char">
    <w:name w:val="Green 22 Char"/>
    <w:basedOn w:val="Heading1Char"/>
    <w:link w:val="Green22"/>
    <w:rsid w:val="00794A12"/>
    <w:rPr>
      <w:rFonts w:asciiTheme="majorHAnsi" w:eastAsiaTheme="majorEastAsia" w:hAnsiTheme="majorHAnsi" w:cstheme="majorBidi"/>
      <w:b/>
      <w:color w:val="538135" w:themeColor="accent6" w:themeShade="BF"/>
      <w:spacing w:val="-10"/>
      <w:kern w:val="28"/>
      <w:sz w:val="4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11C35"/>
    <w:rPr>
      <w:rFonts w:ascii="Aptos" w:eastAsiaTheme="majorEastAsia" w:hAnsi="Aptos" w:cstheme="majorBidi"/>
      <w:color w:val="385623" w:themeColor="accent6" w:themeShade="80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rsid w:val="008E36B0"/>
    <w:rPr>
      <w:rFonts w:ascii="Aptos" w:eastAsiaTheme="majorEastAsia" w:hAnsi="Aptos" w:cstheme="minorHAnsi"/>
      <w:b/>
      <w:color w:val="385623" w:themeColor="accent6" w:themeShade="80"/>
      <w:sz w:val="24"/>
      <w:lang w:eastAsia="en-AU"/>
    </w:rPr>
  </w:style>
  <w:style w:type="paragraph" w:styleId="Header">
    <w:name w:val="header"/>
    <w:basedOn w:val="Normal"/>
    <w:link w:val="HeaderChar"/>
    <w:unhideWhenUsed/>
    <w:rsid w:val="007603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60394"/>
  </w:style>
  <w:style w:type="paragraph" w:styleId="Footer">
    <w:name w:val="footer"/>
    <w:basedOn w:val="Normal"/>
    <w:link w:val="FooterChar"/>
    <w:uiPriority w:val="99"/>
    <w:unhideWhenUsed/>
    <w:rsid w:val="007603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394"/>
  </w:style>
  <w:style w:type="character" w:customStyle="1" w:styleId="Heading3Char">
    <w:name w:val="Heading 3 Char"/>
    <w:basedOn w:val="DefaultParagraphFont"/>
    <w:link w:val="Heading3"/>
    <w:uiPriority w:val="9"/>
    <w:rsid w:val="008E36B0"/>
    <w:rPr>
      <w:rFonts w:ascii="Aptos" w:eastAsiaTheme="majorEastAsia" w:hAnsi="Aptos" w:cstheme="majorBidi"/>
      <w:b/>
      <w:iCs/>
      <w:color w:val="565751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0394"/>
    <w:pPr>
      <w:spacing w:after="120"/>
    </w:pPr>
    <w:rPr>
      <w:rFonts w:eastAsiaTheme="majorEastAsia" w:cstheme="majorBidi"/>
      <w:b/>
      <w:color w:val="385623" w:themeColor="accent6" w:themeShade="80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394"/>
    <w:rPr>
      <w:rFonts w:eastAsiaTheme="majorEastAsia" w:cstheme="majorBidi"/>
      <w:b/>
      <w:color w:val="385623" w:themeColor="accent6" w:themeShade="80"/>
      <w:spacing w:val="-10"/>
      <w:kern w:val="28"/>
      <w:sz w:val="44"/>
      <w:szCs w:val="56"/>
    </w:rPr>
  </w:style>
  <w:style w:type="character" w:styleId="Hyperlink">
    <w:name w:val="Hyperlink"/>
    <w:basedOn w:val="DefaultParagraphFont"/>
    <w:uiPriority w:val="99"/>
    <w:unhideWhenUsed/>
    <w:rsid w:val="007603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03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12">
    <w:name w:val="Blue 12"/>
    <w:basedOn w:val="Normal"/>
    <w:autoRedefine/>
    <w:rsid w:val="00760394"/>
    <w:pPr>
      <w:keepNext/>
      <w:keepLines/>
      <w:outlineLvl w:val="0"/>
    </w:pPr>
    <w:rPr>
      <w:rFonts w:eastAsiaTheme="majorEastAsia" w:cstheme="minorHAnsi"/>
      <w:b/>
      <w:color w:val="27639B"/>
      <w:sz w:val="24"/>
      <w:szCs w:val="48"/>
    </w:rPr>
  </w:style>
  <w:style w:type="paragraph" w:customStyle="1" w:styleId="bullet">
    <w:name w:val="bullet"/>
    <w:basedOn w:val="ListParagraph"/>
    <w:link w:val="bulletChar"/>
    <w:qFormat/>
    <w:rsid w:val="00AA3F93"/>
    <w:pPr>
      <w:numPr>
        <w:numId w:val="19"/>
      </w:numPr>
      <w:spacing w:after="0"/>
      <w:ind w:left="714" w:hanging="357"/>
      <w:contextualSpacing w:val="0"/>
    </w:pPr>
  </w:style>
  <w:style w:type="character" w:customStyle="1" w:styleId="bulletChar">
    <w:name w:val="bullet Char"/>
    <w:basedOn w:val="DefaultParagraphFont"/>
    <w:link w:val="bullet"/>
    <w:rsid w:val="00AA3F93"/>
    <w:rPr>
      <w:rFonts w:ascii="Aptos" w:hAnsi="Aptos"/>
      <w:color w:val="565751"/>
      <w:sz w:val="20"/>
    </w:rPr>
  </w:style>
  <w:style w:type="paragraph" w:styleId="ListParagraph">
    <w:name w:val="List Paragraph"/>
    <w:basedOn w:val="Normal"/>
    <w:uiPriority w:val="34"/>
    <w:qFormat/>
    <w:rsid w:val="007603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2302"/>
    <w:rPr>
      <w:rFonts w:ascii="Aptos" w:eastAsiaTheme="majorEastAsia" w:hAnsi="Aptos" w:cstheme="majorBidi"/>
      <w:color w:val="385623" w:themeColor="accent6" w:themeShade="80"/>
      <w:sz w:val="20"/>
      <w:u w:val="single"/>
    </w:rPr>
  </w:style>
  <w:style w:type="paragraph" w:customStyle="1" w:styleId="Bullet2">
    <w:name w:val="Bullet 2"/>
    <w:basedOn w:val="bullet"/>
    <w:link w:val="Bullet2Char"/>
    <w:qFormat/>
    <w:rsid w:val="00771B9E"/>
  </w:style>
  <w:style w:type="character" w:customStyle="1" w:styleId="Bullet2Char">
    <w:name w:val="Bullet 2 Char"/>
    <w:basedOn w:val="bulletChar"/>
    <w:link w:val="Bullet2"/>
    <w:rsid w:val="00771B9E"/>
    <w:rPr>
      <w:rFonts w:ascii="Aptos" w:hAnsi="Aptos"/>
      <w:color w:val="565751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A12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A12"/>
    <w:rPr>
      <w:rFonts w:ascii="Aptos" w:hAnsi="Aptos"/>
      <w:color w:val="56575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A1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A56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4FE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1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2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25E"/>
    <w:rPr>
      <w:rFonts w:ascii="Aptos" w:hAnsi="Aptos"/>
      <w:color w:val="56575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25E"/>
    <w:rPr>
      <w:rFonts w:ascii="Aptos" w:hAnsi="Aptos"/>
      <w:b/>
      <w:bCs/>
      <w:color w:val="565751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8B2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8B2"/>
    <w:rPr>
      <w:rFonts w:ascii="Aptos" w:hAnsi="Aptos"/>
      <w:color w:val="56575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78B2"/>
    <w:rPr>
      <w:vertAlign w:val="superscript"/>
    </w:rPr>
  </w:style>
  <w:style w:type="paragraph" w:styleId="Revision">
    <w:name w:val="Revision"/>
    <w:hidden/>
    <w:uiPriority w:val="99"/>
    <w:semiHidden/>
    <w:rsid w:val="0099657D"/>
    <w:pPr>
      <w:spacing w:after="0" w:line="240" w:lineRule="auto"/>
    </w:pPr>
    <w:rPr>
      <w:rFonts w:ascii="Aptos" w:hAnsi="Aptos"/>
      <w:color w:val="565751"/>
      <w:sz w:val="20"/>
    </w:rPr>
  </w:style>
  <w:style w:type="character" w:styleId="Mention">
    <w:name w:val="Mention"/>
    <w:basedOn w:val="DefaultParagraphFont"/>
    <w:uiPriority w:val="99"/>
    <w:unhideWhenUsed/>
    <w:rsid w:val="0098588A"/>
    <w:rPr>
      <w:color w:val="2B579A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245A3F"/>
    <w:pPr>
      <w:numPr>
        <w:numId w:val="32"/>
      </w:numPr>
      <w:spacing w:after="120" w:line="259" w:lineRule="auto"/>
      <w:ind w:right="283"/>
    </w:pPr>
    <w:rPr>
      <w:rFonts w:asciiTheme="minorHAnsi" w:hAnsiTheme="minorHAnsi" w:cstheme="minorHAnsi"/>
      <w:color w:val="5F5F5F"/>
      <w:lang w:val="en-US" w:eastAsia="en-AU"/>
    </w:rPr>
  </w:style>
  <w:style w:type="character" w:customStyle="1" w:styleId="Style2Char">
    <w:name w:val="Style2 Char"/>
    <w:basedOn w:val="DefaultParagraphFont"/>
    <w:link w:val="Style2"/>
    <w:rsid w:val="00245A3F"/>
    <w:rPr>
      <w:rFonts w:cstheme="minorHAnsi"/>
      <w:color w:val="5F5F5F"/>
      <w:sz w:val="20"/>
      <w:lang w:val="en-US" w:eastAsia="en-AU"/>
    </w:rPr>
  </w:style>
  <w:style w:type="character" w:styleId="Strong">
    <w:name w:val="Strong"/>
    <w:uiPriority w:val="22"/>
    <w:qFormat/>
    <w:rsid w:val="00E11C35"/>
    <w:rPr>
      <w:b/>
      <w:bCs/>
    </w:rPr>
  </w:style>
  <w:style w:type="character" w:styleId="Emphasis">
    <w:name w:val="Emphasis"/>
    <w:basedOn w:val="DefaultParagraphFont"/>
    <w:uiPriority w:val="20"/>
    <w:qFormat/>
    <w:rsid w:val="008E3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opta.gov.au" TargetMode="External"/><Relationship Id="rId18" Type="http://schemas.openxmlformats.org/officeDocument/2006/relationships/header" Target="header3.xml"/><Relationship Id="rId26" Type="http://schemas.openxmlformats.org/officeDocument/2006/relationships/hyperlink" Target="http://www.nopta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opta.gov.au/forms-and-templates/petroleum-and-greenhouse-gas-forms.html" TargetMode="External"/><Relationship Id="rId34" Type="http://schemas.openxmlformats.org/officeDocument/2006/relationships/image" Target="media/image2.png"/><Relationship Id="rId7" Type="http://schemas.openxmlformats.org/officeDocument/2006/relationships/styles" Target="styles.xml"/><Relationship Id="rId12" Type="http://schemas.openxmlformats.org/officeDocument/2006/relationships/hyperlink" Target="http://www.comlaw.gov.au/Series/C2006A00014" TargetMode="External"/><Relationship Id="rId17" Type="http://schemas.openxmlformats.org/officeDocument/2006/relationships/footer" Target="footer2.xml"/><Relationship Id="rId25" Type="http://schemas.openxmlformats.org/officeDocument/2006/relationships/hyperlink" Target="http://www.nopta.gov.au" TargetMode="External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nopta.gov.au/guidelines-and-factsheets/index.html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opta.gov.au/forms-and-templates/petroleum-and-greenhouse-gas-forms.html" TargetMode="External"/><Relationship Id="rId32" Type="http://schemas.openxmlformats.org/officeDocument/2006/relationships/header" Target="header6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mailto:ghg@nopta.gov.au" TargetMode="External"/><Relationship Id="rId28" Type="http://schemas.openxmlformats.org/officeDocument/2006/relationships/hyperlink" Target="mailto:ghg@nopta.gov.au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www.nopta.gov.au/forms-and-templates/petroleum-and-greenhouse-gas-forms.html" TargetMode="External"/><Relationship Id="rId27" Type="http://schemas.openxmlformats.org/officeDocument/2006/relationships/hyperlink" Target="http://www.nopta.gov.au" TargetMode="External"/><Relationship Id="rId30" Type="http://schemas.openxmlformats.org/officeDocument/2006/relationships/header" Target="header5.xml"/><Relationship Id="rId35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pt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5E8690D2E834C8558B0CBC77CDB45" ma:contentTypeVersion="2564" ma:contentTypeDescription="Create a new document." ma:contentTypeScope="" ma:versionID="3e93230e834bc2d4f9c916d059c6e7cb">
  <xsd:schema xmlns:xsd="http://www.w3.org/2001/XMLSchema" xmlns:xs="http://www.w3.org/2001/XMLSchema" xmlns:p="http://schemas.microsoft.com/office/2006/metadata/properties" xmlns:ns2="7012054d-3a07-4b40-940b-a148fc76e5c4" xmlns:ns3="0c151cca-57ff-4eaf-a1fe-17d5293d916f" targetNamespace="http://schemas.microsoft.com/office/2006/metadata/properties" ma:root="true" ma:fieldsID="3f8466d20122a93d9858fe2534e54d1f" ns2:_="" ns3:_="">
    <xsd:import namespace="7012054d-3a07-4b40-940b-a148fc76e5c4"/>
    <xsd:import namespace="0c151cca-57ff-4eaf-a1fe-17d5293d91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6409ff59-da27-43b9-9466-eca8795ec41c}" ma:internalName="TaxCatchAll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1cca-57ff-4eaf-a1fe-17d5293d91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12054d-3a07-4b40-940b-a148fc76e5c4">NOPTANET-716839524-11048</_dlc_DocId>
    <lcf76f155ced4ddcb4097134ff3c332f xmlns="0c151cca-57ff-4eaf-a1fe-17d5293d916f" xsi:nil="true"/>
    <TaxCatchAll xmlns="7012054d-3a07-4b40-940b-a148fc76e5c4" xsi:nil="true"/>
    <_dlc_DocIdPersistId xmlns="7012054d-3a07-4b40-940b-a148fc76e5c4" xsi:nil="true"/>
    <_dlc_DocIdUrl xmlns="7012054d-3a07-4b40-940b-a148fc76e5c4">
      <Url>https://nopta.sharepoint.com/WST/_layouts/15/DocIdRedir.aspx?ID=NOPTANET-716839524-11048</Url>
      <Description>NOPTANET-716839524-11048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96A30E-3673-42D8-96B2-A8E205684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0c151cca-57ff-4eaf-a1fe-17d5293d9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C34D0-98A0-4CF4-ABAB-3543514CC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06D16C-5F2F-438F-AE30-7977A4CA1DBC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0c151cca-57ff-4eaf-a1fe-17d5293d916f"/>
  </ds:schemaRefs>
</ds:datastoreItem>
</file>

<file path=customXml/itemProps4.xml><?xml version="1.0" encoding="utf-8"?>
<ds:datastoreItem xmlns:ds="http://schemas.openxmlformats.org/officeDocument/2006/customXml" ds:itemID="{0C8620D3-EAE1-4A8E-AD71-93B3E7F16C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3C6E2C-B3EA-4AE9-801E-40FF26A52A0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7ff550a-1311-4851-a2c8-4e2a8b44b88e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3157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21116</CharactersWithSpaces>
  <SharedDoc>false</SharedDoc>
  <HLinks>
    <vt:vector size="90" baseType="variant">
      <vt:variant>
        <vt:i4>7143446</vt:i4>
      </vt:variant>
      <vt:variant>
        <vt:i4>39</vt:i4>
      </vt:variant>
      <vt:variant>
        <vt:i4>0</vt:i4>
      </vt:variant>
      <vt:variant>
        <vt:i4>5</vt:i4>
      </vt:variant>
      <vt:variant>
        <vt:lpwstr>mailto:ghg@nopta.gov.au</vt:lpwstr>
      </vt:variant>
      <vt:variant>
        <vt:lpwstr/>
      </vt:variant>
      <vt:variant>
        <vt:i4>720977</vt:i4>
      </vt:variant>
      <vt:variant>
        <vt:i4>36</vt:i4>
      </vt:variant>
      <vt:variant>
        <vt:i4>0</vt:i4>
      </vt:variant>
      <vt:variant>
        <vt:i4>5</vt:i4>
      </vt:variant>
      <vt:variant>
        <vt:lpwstr>http://www.nopta.gov.au/</vt:lpwstr>
      </vt:variant>
      <vt:variant>
        <vt:lpwstr/>
      </vt:variant>
      <vt:variant>
        <vt:i4>720977</vt:i4>
      </vt:variant>
      <vt:variant>
        <vt:i4>33</vt:i4>
      </vt:variant>
      <vt:variant>
        <vt:i4>0</vt:i4>
      </vt:variant>
      <vt:variant>
        <vt:i4>5</vt:i4>
      </vt:variant>
      <vt:variant>
        <vt:lpwstr>http://www.nopta.gov.au/</vt:lpwstr>
      </vt:variant>
      <vt:variant>
        <vt:lpwstr/>
      </vt:variant>
      <vt:variant>
        <vt:i4>720977</vt:i4>
      </vt:variant>
      <vt:variant>
        <vt:i4>30</vt:i4>
      </vt:variant>
      <vt:variant>
        <vt:i4>0</vt:i4>
      </vt:variant>
      <vt:variant>
        <vt:i4>5</vt:i4>
      </vt:variant>
      <vt:variant>
        <vt:lpwstr>http://www.nopta.gov.au/</vt:lpwstr>
      </vt:variant>
      <vt:variant>
        <vt:lpwstr/>
      </vt:variant>
      <vt:variant>
        <vt:i4>6619261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ProposedWorkProgram</vt:lpwstr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Attachment1Multiplestorageformations</vt:lpwstr>
      </vt:variant>
      <vt:variant>
        <vt:i4>720977</vt:i4>
      </vt:variant>
      <vt:variant>
        <vt:i4>21</vt:i4>
      </vt:variant>
      <vt:variant>
        <vt:i4>0</vt:i4>
      </vt:variant>
      <vt:variant>
        <vt:i4>5</vt:i4>
      </vt:variant>
      <vt:variant>
        <vt:lpwstr>http://www.nopta.gov.au/</vt:lpwstr>
      </vt:variant>
      <vt:variant>
        <vt:lpwstr/>
      </vt:variant>
      <vt:variant>
        <vt:i4>7143446</vt:i4>
      </vt:variant>
      <vt:variant>
        <vt:i4>18</vt:i4>
      </vt:variant>
      <vt:variant>
        <vt:i4>0</vt:i4>
      </vt:variant>
      <vt:variant>
        <vt:i4>5</vt:i4>
      </vt:variant>
      <vt:variant>
        <vt:lpwstr>mailto:ghg@nopta.gov.au</vt:lpwstr>
      </vt:variant>
      <vt:variant>
        <vt:lpwstr/>
      </vt:variant>
      <vt:variant>
        <vt:i4>720977</vt:i4>
      </vt:variant>
      <vt:variant>
        <vt:i4>15</vt:i4>
      </vt:variant>
      <vt:variant>
        <vt:i4>0</vt:i4>
      </vt:variant>
      <vt:variant>
        <vt:i4>5</vt:i4>
      </vt:variant>
      <vt:variant>
        <vt:lpwstr>http://www.nopta.gov.au/</vt:lpwstr>
      </vt:variant>
      <vt:variant>
        <vt:lpwstr/>
      </vt:variant>
      <vt:variant>
        <vt:i4>1900563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MultipleDoSFs</vt:lpwstr>
      </vt:variant>
      <vt:variant>
        <vt:i4>1441897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_Step_2_–</vt:lpwstr>
      </vt:variant>
      <vt:variant>
        <vt:i4>5963804</vt:i4>
      </vt:variant>
      <vt:variant>
        <vt:i4>6</vt:i4>
      </vt:variant>
      <vt:variant>
        <vt:i4>0</vt:i4>
      </vt:variant>
      <vt:variant>
        <vt:i4>5</vt:i4>
      </vt:variant>
      <vt:variant>
        <vt:lpwstr>https://www.nopta.gov.au/guidelines-and-factsheets/index.html</vt:lpwstr>
      </vt:variant>
      <vt:variant>
        <vt:lpwstr/>
      </vt:variant>
      <vt:variant>
        <vt:i4>720977</vt:i4>
      </vt:variant>
      <vt:variant>
        <vt:i4>3</vt:i4>
      </vt:variant>
      <vt:variant>
        <vt:i4>0</vt:i4>
      </vt:variant>
      <vt:variant>
        <vt:i4>5</vt:i4>
      </vt:variant>
      <vt:variant>
        <vt:lpwstr>http://www.nopta.gov.au/</vt:lpwstr>
      </vt:variant>
      <vt:variant>
        <vt:lpwstr/>
      </vt:variant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http://www.comlaw.gov.au/Series/C2006A00014</vt:lpwstr>
      </vt:variant>
      <vt:variant>
        <vt:lpwstr/>
      </vt:variant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http://www.nopta.gov.au/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2026-03-22T22:45:00Z</dcterms:created>
  <dcterms:modified xsi:type="dcterms:W3CDTF">2026-03-22T22:45:00Z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2026-03-19T05:20:15Z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7e05b5f7-f2f8-4cca-aa03-3b2102cb9975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TaxKeyword">
    <vt:lpwstr/>
  </property>
  <property fmtid="{D5CDD505-2E9C-101B-9397-08002B2CF9AE}" pid="11" name="Team_Note">
    <vt:lpwstr/>
  </property>
  <property fmtid="{D5CDD505-2E9C-101B-9397-08002B2CF9AE}" pid="12" name="Stratus_WorkActivity">
    <vt:lpwstr>289;#Website Content Management|54ae7053-60e9-4d99-b729-19aec6f994b7</vt:lpwstr>
  </property>
  <property fmtid="{D5CDD505-2E9C-101B-9397-08002B2CF9AE}" pid="13" name="ClassificationContentMarkingHeaderText">
    <vt:lpwstr>OFFICIAL: Sensitive//Legal-Privilege</vt:lpwstr>
  </property>
  <property fmtid="{D5CDD505-2E9C-101B-9397-08002B2CF9AE}" pid="14" name="DocumentType_Note">
    <vt:lpwstr/>
  </property>
  <property fmtid="{D5CDD505-2E9C-101B-9397-08002B2CF9AE}" pid="15" name="MediaServiceImageTags">
    <vt:lpwstr/>
  </property>
  <property fmtid="{D5CDD505-2E9C-101B-9397-08002B2CF9AE}" pid="16" name="ContentTypeId">
    <vt:lpwstr>0x01010073D5E8690D2E834C8558B0CBC77CDB45</vt:lpwstr>
  </property>
  <property fmtid="{D5CDD505-2E9C-101B-9397-08002B2CF9AE}" pid="17" name="Stratus_OffshoreResourcesWorkTopics">
    <vt:lpwstr>290;#Administrative Guidelines|92427131-c14d-4739-83b4-5c9fc18ce5d6</vt:lpwstr>
  </property>
  <property fmtid="{D5CDD505-2E9C-101B-9397-08002B2CF9AE}" pid="18" name="TaxKeywordTaxHTField">
    <vt:lpwstr/>
  </property>
  <property fmtid="{D5CDD505-2E9C-101B-9397-08002B2CF9AE}" pid="19" name="ClassificationContentMarkingHeaderFontProps">
    <vt:lpwstr>#c00000,12,ARIAL</vt:lpwstr>
  </property>
  <property fmtid="{D5CDD505-2E9C-101B-9397-08002B2CF9AE}" pid="20" name="Titles">
    <vt:lpwstr/>
  </property>
  <property fmtid="{D5CDD505-2E9C-101B-9397-08002B2CF9AE}" pid="21" name="Stratus_Year">
    <vt:lpwstr/>
  </property>
  <property fmtid="{D5CDD505-2E9C-101B-9397-08002B2CF9AE}" pid="22" name="Title Type">
    <vt:lpwstr/>
  </property>
  <property fmtid="{D5CDD505-2E9C-101B-9397-08002B2CF9AE}" pid="23" name="Stratus_DocumentType">
    <vt:lpwstr>13;#Guideline|57771b02-658a-45ea-b3f8-d7ea084e6707</vt:lpwstr>
  </property>
  <property fmtid="{D5CDD505-2E9C-101B-9397-08002B2CF9AE}" pid="24" name="Offshore Region">
    <vt:lpwstr/>
  </property>
  <property fmtid="{D5CDD505-2E9C-101B-9397-08002B2CF9AE}" pid="25" name="pfcb0be319e247388db2251ff9d23f72">
    <vt:lpwstr/>
  </property>
  <property fmtid="{D5CDD505-2E9C-101B-9397-08002B2CF9AE}" pid="26" name="docLang">
    <vt:lpwstr>en</vt:lpwstr>
  </property>
  <property fmtid="{D5CDD505-2E9C-101B-9397-08002B2CF9AE}" pid="27" name="Offshore_x0020_Region">
    <vt:lpwstr/>
  </property>
  <property fmtid="{D5CDD505-2E9C-101B-9397-08002B2CF9AE}" pid="28" name="Stratus_SecurityClassification">
    <vt:lpwstr>5;#OFFICIAL:Sensitive|92ecd0c5-78b3-45d0-8fcd-907c8033822d</vt:lpwstr>
  </property>
  <property fmtid="{D5CDD505-2E9C-101B-9397-08002B2CF9AE}" pid="29" name="ClassificationContentMarkingFooterShapeIds">
    <vt:lpwstr>320e18ed,249557d3,42db08c1,37e1c7ef,656c858,649cfec4</vt:lpwstr>
  </property>
  <property fmtid="{D5CDD505-2E9C-101B-9397-08002B2CF9AE}" pid="30" name="ClassificationContentMarkingHeaderShapeIds">
    <vt:lpwstr>44fcf628,5d54e626,548dc11,19bbeb4f,46a944cc,38db487d</vt:lpwstr>
  </property>
  <property fmtid="{D5CDD505-2E9C-101B-9397-08002B2CF9AE}" pid="31" name="Application Library">
    <vt:lpwstr/>
  </property>
  <property fmtid="{D5CDD505-2E9C-101B-9397-08002B2CF9AE}" pid="32" name="ClassificationContentMarkingFooterFontProps">
    <vt:lpwstr>#c00000,12,ARIAL</vt:lpwstr>
  </property>
  <property fmtid="{D5CDD505-2E9C-101B-9397-08002B2CF9AE}" pid="33" name="Titles_Note">
    <vt:lpwstr/>
  </property>
  <property fmtid="{D5CDD505-2E9C-101B-9397-08002B2CF9AE}" pid="34" name="Team">
    <vt:lpwstr/>
  </property>
  <property fmtid="{D5CDD505-2E9C-101B-9397-08002B2CF9AE}" pid="35" name="Application_x0020_Library">
    <vt:lpwstr/>
  </property>
  <property fmtid="{D5CDD505-2E9C-101B-9397-08002B2CF9AE}" pid="36" name="_dlc_DocIdItemGuid">
    <vt:lpwstr>acd7a166-1610-49c9-a17d-ec4cbeedec7d</vt:lpwstr>
  </property>
  <property fmtid="{D5CDD505-2E9C-101B-9397-08002B2CF9AE}" pid="37" name="m3f2ca6b2c9a4802967adedbb4af06ae">
    <vt:lpwstr/>
  </property>
  <property fmtid="{D5CDD505-2E9C-101B-9397-08002B2CF9AE}" pid="38" name="DocumentType">
    <vt:lpwstr/>
  </property>
  <property fmtid="{D5CDD505-2E9C-101B-9397-08002B2CF9AE}" pid="39" name="BusinessFunction_Note">
    <vt:lpwstr/>
  </property>
  <property fmtid="{D5CDD505-2E9C-101B-9397-08002B2CF9AE}" pid="40" name="g91dc4f691a04421b1edf463601fabf6">
    <vt:lpwstr/>
  </property>
  <property fmtid="{D5CDD505-2E9C-101B-9397-08002B2CF9AE}" pid="41" name="ClassificationContentMarkingFooterText">
    <vt:lpwstr>OFFICIAL: Sensitive//Legal-Privilege</vt:lpwstr>
  </property>
  <property fmtid="{D5CDD505-2E9C-101B-9397-08002B2CF9AE}" pid="42" name="Title_x0020_Type">
    <vt:lpwstr/>
  </property>
</Properties>
</file>