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CF97E" w14:textId="02A16391" w:rsidR="00925DF4" w:rsidRPr="00E4648B" w:rsidRDefault="001719D5" w:rsidP="001370C4">
      <w:pPr>
        <w:pBdr>
          <w:bottom w:val="single" w:sz="4" w:space="6" w:color="565751"/>
        </w:pBdr>
        <w:spacing w:before="0"/>
        <w:rPr>
          <w:rFonts w:ascii="Aptos Display" w:eastAsiaTheme="majorEastAsia" w:hAnsi="Aptos Display" w:cstheme="majorBidi"/>
          <w:bCs/>
          <w:color w:val="5F5F5F"/>
          <w:spacing w:val="-10"/>
          <w:kern w:val="28"/>
          <w:sz w:val="52"/>
          <w:szCs w:val="52"/>
        </w:rPr>
      </w:pPr>
      <w:r w:rsidRPr="00E4648B">
        <w:rPr>
          <w:rFonts w:ascii="Aptos Display" w:eastAsiaTheme="majorEastAsia" w:hAnsi="Aptos Display" w:cstheme="majorBidi"/>
          <w:bCs/>
          <w:color w:val="5F5F5F"/>
          <w:spacing w:val="-10"/>
          <w:kern w:val="28"/>
          <w:sz w:val="52"/>
          <w:szCs w:val="52"/>
        </w:rPr>
        <w:t xml:space="preserve">Dealings - </w:t>
      </w:r>
      <w:r w:rsidR="00925DF4" w:rsidRPr="00E4648B">
        <w:rPr>
          <w:rStyle w:val="Heading1Char"/>
          <w:bCs w:val="0"/>
          <w:szCs w:val="52"/>
        </w:rPr>
        <w:t xml:space="preserve">Supplementary </w:t>
      </w:r>
      <w:r w:rsidR="00071E86" w:rsidRPr="00E4648B">
        <w:rPr>
          <w:rStyle w:val="Heading1Char"/>
          <w:bCs w:val="0"/>
          <w:szCs w:val="52"/>
        </w:rPr>
        <w:t>i</w:t>
      </w:r>
      <w:r w:rsidR="00925DF4" w:rsidRPr="00E4648B">
        <w:rPr>
          <w:rStyle w:val="Heading1Char"/>
          <w:bCs w:val="0"/>
          <w:szCs w:val="52"/>
        </w:rPr>
        <w:t>nstruments</w:t>
      </w:r>
    </w:p>
    <w:p w14:paraId="5145AA12" w14:textId="04757185" w:rsidR="00363B0D" w:rsidRPr="00495ABC" w:rsidRDefault="00363B0D" w:rsidP="00B400F6">
      <w:pPr>
        <w:pBdr>
          <w:bottom w:val="single" w:sz="4" w:space="6" w:color="565751"/>
        </w:pBdr>
        <w:rPr>
          <w:szCs w:val="20"/>
        </w:rPr>
      </w:pPr>
      <w:r w:rsidRPr="00495ABC">
        <w:rPr>
          <w:szCs w:val="20"/>
          <w:lang w:val="en-US" w:eastAsia="en-AU"/>
        </w:rPr>
        <w:t xml:space="preserve">All fact sheets </w:t>
      </w:r>
      <w:r w:rsidRPr="00495ABC">
        <w:rPr>
          <w:szCs w:val="20"/>
        </w:rPr>
        <w:t xml:space="preserve">should be read in conjunction with the </w:t>
      </w:r>
      <w:hyperlink r:id="rId12">
        <w:r w:rsidRPr="00495ABC">
          <w:rPr>
            <w:rStyle w:val="Hyperlink"/>
            <w:i/>
            <w:iCs/>
            <w:szCs w:val="20"/>
          </w:rPr>
          <w:t>Offshore Petroleum and Greenhouse Gas Storage Act 2006</w:t>
        </w:r>
      </w:hyperlink>
      <w:r w:rsidRPr="00495ABC">
        <w:rPr>
          <w:i/>
          <w:iCs/>
          <w:szCs w:val="20"/>
        </w:rPr>
        <w:t xml:space="preserve"> </w:t>
      </w:r>
      <w:r w:rsidRPr="00495ABC">
        <w:t>(</w:t>
      </w:r>
      <w:r w:rsidR="008D610D">
        <w:rPr>
          <w:b/>
          <w:bCs/>
        </w:rPr>
        <w:t xml:space="preserve">OPGGS </w:t>
      </w:r>
      <w:r w:rsidRPr="00495ABC">
        <w:rPr>
          <w:b/>
          <w:bCs/>
        </w:rPr>
        <w:t>Act</w:t>
      </w:r>
      <w:r w:rsidRPr="00495ABC">
        <w:t>), associated regulations, relevant guidelines and policies (available on</w:t>
      </w:r>
      <w:r w:rsidRPr="00495ABC">
        <w:rPr>
          <w:szCs w:val="20"/>
        </w:rPr>
        <w:t xml:space="preserve"> </w:t>
      </w:r>
      <w:hyperlink r:id="rId13">
        <w:r w:rsidRPr="00495ABC">
          <w:rPr>
            <w:rStyle w:val="Hyperlink"/>
            <w:szCs w:val="20"/>
          </w:rPr>
          <w:t>NOPTA’s website</w:t>
        </w:r>
      </w:hyperlink>
      <w:r w:rsidRPr="00495ABC">
        <w:rPr>
          <w:szCs w:val="20"/>
        </w:rPr>
        <w:t>).</w:t>
      </w:r>
    </w:p>
    <w:p w14:paraId="2BE5BA62" w14:textId="77777777" w:rsidR="00D93C15" w:rsidRPr="00495ABC" w:rsidRDefault="00D93C15" w:rsidP="00D93C15">
      <w:pPr>
        <w:sectPr w:rsidR="00D93C15" w:rsidRPr="00495ABC" w:rsidSect="00FB6526">
          <w:headerReference w:type="even" r:id="rId14"/>
          <w:headerReference w:type="default" r:id="rId15"/>
          <w:footerReference w:type="even" r:id="rId16"/>
          <w:footerReference w:type="default" r:id="rId17"/>
          <w:headerReference w:type="first" r:id="rId18"/>
          <w:footerReference w:type="first" r:id="rId19"/>
          <w:pgSz w:w="11906" w:h="16838"/>
          <w:pgMar w:top="2381" w:right="851" w:bottom="851" w:left="851" w:header="709" w:footer="397" w:gutter="0"/>
          <w:cols w:space="708"/>
          <w:docGrid w:linePitch="360"/>
        </w:sectPr>
      </w:pPr>
    </w:p>
    <w:p w14:paraId="7FA04A14" w14:textId="77777777" w:rsidR="00925DF4" w:rsidRPr="00495ABC" w:rsidRDefault="00925DF4" w:rsidP="00925DF4">
      <w:pPr>
        <w:spacing w:before="100" w:after="100"/>
        <w:rPr>
          <w:color w:val="595959" w:themeColor="text1" w:themeTint="A6"/>
          <w:szCs w:val="20"/>
        </w:rPr>
      </w:pPr>
      <w:r w:rsidRPr="00495ABC">
        <w:rPr>
          <w:szCs w:val="20"/>
        </w:rPr>
        <w:t>The</w:t>
      </w:r>
      <w:hyperlink r:id="rId20" w:history="1">
        <w:r w:rsidRPr="00495ABC">
          <w:rPr>
            <w:rStyle w:val="Hyperlink"/>
            <w:i/>
            <w:szCs w:val="20"/>
          </w:rPr>
          <w:t xml:space="preserve"> Guideline: Transfers, dealings, change in control and other titleholder transactions</w:t>
        </w:r>
      </w:hyperlink>
      <w:r w:rsidRPr="00495ABC">
        <w:rPr>
          <w:szCs w:val="20"/>
        </w:rPr>
        <w:t xml:space="preserve"> </w:t>
      </w:r>
      <w:r w:rsidRPr="00495ABC">
        <w:rPr>
          <w:color w:val="595959" w:themeColor="text1" w:themeTint="A6"/>
          <w:szCs w:val="20"/>
        </w:rPr>
        <w:t>(</w:t>
      </w:r>
      <w:r w:rsidRPr="00F65D82">
        <w:rPr>
          <w:rStyle w:val="Strong"/>
        </w:rPr>
        <w:t>the Guideline</w:t>
      </w:r>
      <w:r w:rsidRPr="00495ABC">
        <w:rPr>
          <w:color w:val="595959" w:themeColor="text1" w:themeTint="A6"/>
          <w:szCs w:val="20"/>
        </w:rPr>
        <w:t>) provides an overview of the requirements and processes involved with an application for approval and registration of a dealing.</w:t>
      </w:r>
    </w:p>
    <w:p w14:paraId="4346CE70" w14:textId="77777777" w:rsidR="00925DF4" w:rsidRPr="00495ABC" w:rsidRDefault="00925DF4" w:rsidP="00925DF4">
      <w:pPr>
        <w:rPr>
          <w:color w:val="595959" w:themeColor="text1" w:themeTint="A6"/>
          <w:szCs w:val="20"/>
        </w:rPr>
      </w:pPr>
      <w:r w:rsidRPr="00495ABC">
        <w:rPr>
          <w:color w:val="595959" w:themeColor="text1" w:themeTint="A6"/>
          <w:szCs w:val="20"/>
        </w:rPr>
        <w:t>This fact sheet provides guidance on completing supplementary instruments.</w:t>
      </w:r>
    </w:p>
    <w:p w14:paraId="0E6A6B31" w14:textId="77777777" w:rsidR="00925DF4" w:rsidRPr="00B11E22" w:rsidRDefault="00925DF4" w:rsidP="006834D7">
      <w:pPr>
        <w:pStyle w:val="Heading2"/>
      </w:pPr>
      <w:r w:rsidRPr="00B11E22">
        <w:t>Supplementary instruments</w:t>
      </w:r>
    </w:p>
    <w:p w14:paraId="239EFBBD" w14:textId="37A33F38" w:rsidR="00925DF4" w:rsidRPr="00495ABC" w:rsidRDefault="00925DF4" w:rsidP="00925DF4">
      <w:pPr>
        <w:rPr>
          <w:color w:val="595959" w:themeColor="text1" w:themeTint="A6"/>
          <w:szCs w:val="20"/>
        </w:rPr>
      </w:pPr>
      <w:r w:rsidRPr="00495ABC">
        <w:rPr>
          <w:color w:val="595959" w:themeColor="text1" w:themeTint="A6"/>
          <w:szCs w:val="20"/>
        </w:rPr>
        <w:t xml:space="preserve">The </w:t>
      </w:r>
      <w:r w:rsidR="00F75E7E">
        <w:rPr>
          <w:color w:val="595959" w:themeColor="text1" w:themeTint="A6"/>
          <w:szCs w:val="20"/>
        </w:rPr>
        <w:t xml:space="preserve">OPPGS </w:t>
      </w:r>
      <w:r w:rsidRPr="00495ABC">
        <w:rPr>
          <w:color w:val="595959" w:themeColor="text1" w:themeTint="A6"/>
          <w:szCs w:val="20"/>
        </w:rPr>
        <w:t>Act provides that an application for approval of a dealing may be accompanied by a supplementary instrument (subsection</w:t>
      </w:r>
      <w:r w:rsidR="003B0C25">
        <w:rPr>
          <w:color w:val="595959" w:themeColor="text1" w:themeTint="A6"/>
          <w:szCs w:val="20"/>
        </w:rPr>
        <w:t>s</w:t>
      </w:r>
      <w:r w:rsidRPr="00495ABC">
        <w:rPr>
          <w:color w:val="595959" w:themeColor="text1" w:themeTint="A6"/>
          <w:szCs w:val="20"/>
        </w:rPr>
        <w:t xml:space="preserve"> 489(2) </w:t>
      </w:r>
      <w:r w:rsidR="006567E1">
        <w:rPr>
          <w:color w:val="595959" w:themeColor="text1" w:themeTint="A6"/>
          <w:szCs w:val="20"/>
        </w:rPr>
        <w:t xml:space="preserve">and 540(2) </w:t>
      </w:r>
      <w:r w:rsidRPr="00495ABC">
        <w:rPr>
          <w:color w:val="595959" w:themeColor="text1" w:themeTint="A6"/>
          <w:szCs w:val="20"/>
        </w:rPr>
        <w:t xml:space="preserve">of </w:t>
      </w:r>
      <w:r w:rsidRPr="00495ABC" w:rsidDel="008D610D">
        <w:rPr>
          <w:color w:val="595959" w:themeColor="text1" w:themeTint="A6"/>
          <w:szCs w:val="20"/>
        </w:rPr>
        <w:t>the</w:t>
      </w:r>
      <w:r w:rsidR="00280835" w:rsidRPr="00495ABC" w:rsidDel="008D610D">
        <w:rPr>
          <w:color w:val="595959" w:themeColor="text1" w:themeTint="A6"/>
          <w:szCs w:val="20"/>
        </w:rPr>
        <w:t xml:space="preserve"> </w:t>
      </w:r>
      <w:r w:rsidR="008D610D">
        <w:rPr>
          <w:color w:val="595959" w:themeColor="text1" w:themeTint="A6"/>
          <w:szCs w:val="20"/>
        </w:rPr>
        <w:t>OPGGS Act</w:t>
      </w:r>
      <w:r w:rsidRPr="00495ABC">
        <w:rPr>
          <w:color w:val="595959" w:themeColor="text1" w:themeTint="A6"/>
          <w:szCs w:val="20"/>
        </w:rPr>
        <w:t>).</w:t>
      </w:r>
    </w:p>
    <w:p w14:paraId="252C3955" w14:textId="0CBD1C9E" w:rsidR="00925DF4" w:rsidRPr="00495ABC" w:rsidRDefault="00925DF4" w:rsidP="00925DF4">
      <w:pPr>
        <w:rPr>
          <w:color w:val="595959" w:themeColor="text1" w:themeTint="A6"/>
          <w:szCs w:val="20"/>
        </w:rPr>
      </w:pPr>
      <w:r w:rsidRPr="00495ABC">
        <w:rPr>
          <w:color w:val="595959" w:themeColor="text1" w:themeTint="A6"/>
          <w:szCs w:val="20"/>
        </w:rPr>
        <w:t>Where the Titles Administrator (</w:t>
      </w:r>
      <w:r w:rsidRPr="00F65D82">
        <w:rPr>
          <w:rStyle w:val="Strong"/>
        </w:rPr>
        <w:t>TA</w:t>
      </w:r>
      <w:r w:rsidRPr="00495ABC">
        <w:rPr>
          <w:color w:val="595959" w:themeColor="text1" w:themeTint="A6"/>
          <w:szCs w:val="20"/>
        </w:rPr>
        <w:t>) approves a dealing, and a supplementary instrument has been provided, a copy of the supplementary instrument will be placed on the Titles Register and made available for public inspection in place of the full dealing (subsection</w:t>
      </w:r>
      <w:r w:rsidR="006567E1">
        <w:rPr>
          <w:color w:val="595959" w:themeColor="text1" w:themeTint="A6"/>
          <w:szCs w:val="20"/>
        </w:rPr>
        <w:t>s</w:t>
      </w:r>
      <w:r w:rsidRPr="00495ABC">
        <w:rPr>
          <w:color w:val="595959" w:themeColor="text1" w:themeTint="A6"/>
          <w:szCs w:val="20"/>
        </w:rPr>
        <w:t xml:space="preserve"> 495(2) </w:t>
      </w:r>
      <w:r w:rsidR="00C06452">
        <w:rPr>
          <w:color w:val="595959" w:themeColor="text1" w:themeTint="A6"/>
          <w:szCs w:val="20"/>
        </w:rPr>
        <w:t xml:space="preserve">and 545(2) </w:t>
      </w:r>
      <w:r w:rsidRPr="00495ABC">
        <w:rPr>
          <w:color w:val="595959" w:themeColor="text1" w:themeTint="A6"/>
          <w:szCs w:val="20"/>
        </w:rPr>
        <w:t xml:space="preserve">of </w:t>
      </w:r>
      <w:r w:rsidRPr="00495ABC" w:rsidDel="008D610D">
        <w:rPr>
          <w:color w:val="595959" w:themeColor="text1" w:themeTint="A6"/>
          <w:szCs w:val="20"/>
        </w:rPr>
        <w:t xml:space="preserve">the </w:t>
      </w:r>
      <w:r w:rsidR="008D610D">
        <w:rPr>
          <w:color w:val="595959" w:themeColor="text1" w:themeTint="A6"/>
          <w:szCs w:val="20"/>
        </w:rPr>
        <w:t>OPGGS Act</w:t>
      </w:r>
      <w:r w:rsidRPr="00495ABC">
        <w:rPr>
          <w:color w:val="595959" w:themeColor="text1" w:themeTint="A6"/>
          <w:szCs w:val="20"/>
        </w:rPr>
        <w:t>).</w:t>
      </w:r>
    </w:p>
    <w:p w14:paraId="2CA04A25" w14:textId="77777777" w:rsidR="00925DF4" w:rsidRPr="00B11E22" w:rsidRDefault="00925DF4" w:rsidP="006834D7">
      <w:pPr>
        <w:pStyle w:val="Heading2"/>
        <w:rPr>
          <w:color w:val="595959" w:themeColor="text1" w:themeTint="A6"/>
          <w:sz w:val="20"/>
          <w:szCs w:val="20"/>
        </w:rPr>
      </w:pPr>
      <w:r w:rsidRPr="00B11E22">
        <w:t>Purpose</w:t>
      </w:r>
    </w:p>
    <w:p w14:paraId="1C49463C" w14:textId="4DFF81A2" w:rsidR="00925DF4" w:rsidRPr="00495ABC" w:rsidRDefault="00925DF4" w:rsidP="00925DF4">
      <w:pPr>
        <w:rPr>
          <w:color w:val="595959" w:themeColor="text1" w:themeTint="A6"/>
          <w:szCs w:val="20"/>
        </w:rPr>
      </w:pPr>
      <w:r w:rsidRPr="00495ABC">
        <w:rPr>
          <w:color w:val="595959" w:themeColor="text1" w:themeTint="A6"/>
          <w:szCs w:val="20"/>
        </w:rPr>
        <w:t>A supplementary instrument is used where the original instrument evidencing the dealing contains information that the parties want</w:t>
      </w:r>
      <w:r w:rsidR="008354B1">
        <w:rPr>
          <w:color w:val="595959" w:themeColor="text1" w:themeTint="A6"/>
          <w:szCs w:val="20"/>
        </w:rPr>
        <w:t xml:space="preserve"> to keep</w:t>
      </w:r>
      <w:r w:rsidRPr="00495ABC" w:rsidDel="008354B1">
        <w:rPr>
          <w:color w:val="595959" w:themeColor="text1" w:themeTint="A6"/>
          <w:szCs w:val="20"/>
        </w:rPr>
        <w:t xml:space="preserve"> </w:t>
      </w:r>
      <w:r w:rsidRPr="00495ABC">
        <w:rPr>
          <w:color w:val="595959" w:themeColor="text1" w:themeTint="A6"/>
          <w:szCs w:val="20"/>
        </w:rPr>
        <w:t>confidential, such as commercially sensitive information.</w:t>
      </w:r>
    </w:p>
    <w:p w14:paraId="421828A4" w14:textId="77777777" w:rsidR="00925DF4" w:rsidRPr="00495ABC" w:rsidRDefault="00925DF4" w:rsidP="00925DF4">
      <w:pPr>
        <w:rPr>
          <w:color w:val="595959" w:themeColor="text1" w:themeTint="A6"/>
          <w:szCs w:val="20"/>
        </w:rPr>
      </w:pPr>
      <w:r w:rsidRPr="00495ABC">
        <w:rPr>
          <w:color w:val="595959" w:themeColor="text1" w:themeTint="A6"/>
          <w:szCs w:val="20"/>
        </w:rPr>
        <w:t>Its purpose is to clearly describe the effect(s) of the dealing or transaction while preserving confidentiality.</w:t>
      </w:r>
    </w:p>
    <w:p w14:paraId="33DBE1F0" w14:textId="7E7532F3" w:rsidR="00925DF4" w:rsidRPr="00495ABC" w:rsidRDefault="00925DF4" w:rsidP="00925DF4">
      <w:pPr>
        <w:rPr>
          <w:color w:val="595959" w:themeColor="text1" w:themeTint="A6"/>
          <w:szCs w:val="20"/>
        </w:rPr>
      </w:pPr>
      <w:r w:rsidRPr="00495ABC">
        <w:rPr>
          <w:color w:val="595959" w:themeColor="text1" w:themeTint="A6"/>
          <w:szCs w:val="20"/>
        </w:rPr>
        <w:t xml:space="preserve">As the supplementary instrument replaces the full dealing instrument on the Titles Register, it should </w:t>
      </w:r>
      <w:r w:rsidR="00995D6A">
        <w:rPr>
          <w:color w:val="595959" w:themeColor="text1" w:themeTint="A6"/>
          <w:szCs w:val="20"/>
        </w:rPr>
        <w:t xml:space="preserve">provide sufficient information </w:t>
      </w:r>
      <w:r w:rsidR="00D06163">
        <w:rPr>
          <w:color w:val="595959" w:themeColor="text1" w:themeTint="A6"/>
          <w:szCs w:val="20"/>
        </w:rPr>
        <w:t xml:space="preserve">to </w:t>
      </w:r>
      <w:r w:rsidRPr="00495ABC">
        <w:rPr>
          <w:color w:val="595959" w:themeColor="text1" w:themeTint="A6"/>
          <w:szCs w:val="20"/>
        </w:rPr>
        <w:t xml:space="preserve">a person inspecting the Titles Register to </w:t>
      </w:r>
      <w:r w:rsidR="005A2FCB">
        <w:rPr>
          <w:color w:val="595959" w:themeColor="text1" w:themeTint="A6"/>
          <w:szCs w:val="20"/>
        </w:rPr>
        <w:t>determine</w:t>
      </w:r>
      <w:r w:rsidR="005A2FCB" w:rsidRPr="00495ABC">
        <w:rPr>
          <w:color w:val="595959" w:themeColor="text1" w:themeTint="A6"/>
          <w:szCs w:val="20"/>
        </w:rPr>
        <w:t xml:space="preserve"> </w:t>
      </w:r>
      <w:r w:rsidR="00592A09">
        <w:rPr>
          <w:color w:val="595959" w:themeColor="text1" w:themeTint="A6"/>
          <w:szCs w:val="20"/>
        </w:rPr>
        <w:t>who the parties to the dealing are, the title affected</w:t>
      </w:r>
      <w:r w:rsidR="00BE02D9">
        <w:rPr>
          <w:color w:val="595959" w:themeColor="text1" w:themeTint="A6"/>
          <w:szCs w:val="20"/>
        </w:rPr>
        <w:t>,</w:t>
      </w:r>
      <w:r w:rsidR="00592A09">
        <w:rPr>
          <w:color w:val="595959" w:themeColor="text1" w:themeTint="A6"/>
          <w:szCs w:val="20"/>
        </w:rPr>
        <w:t xml:space="preserve"> and </w:t>
      </w:r>
      <w:r w:rsidRPr="00495ABC" w:rsidDel="00592A09">
        <w:rPr>
          <w:color w:val="595959" w:themeColor="text1" w:themeTint="A6"/>
          <w:szCs w:val="20"/>
        </w:rPr>
        <w:t xml:space="preserve">the </w:t>
      </w:r>
      <w:r w:rsidRPr="00495ABC">
        <w:rPr>
          <w:color w:val="595959" w:themeColor="text1" w:themeTint="A6"/>
          <w:szCs w:val="20"/>
        </w:rPr>
        <w:t>effect</w:t>
      </w:r>
      <w:r w:rsidR="006514E4">
        <w:rPr>
          <w:color w:val="595959" w:themeColor="text1" w:themeTint="A6"/>
          <w:szCs w:val="20"/>
        </w:rPr>
        <w:t xml:space="preserve"> or effects</w:t>
      </w:r>
      <w:r w:rsidRPr="00495ABC">
        <w:rPr>
          <w:color w:val="595959" w:themeColor="text1" w:themeTint="A6"/>
          <w:szCs w:val="20"/>
        </w:rPr>
        <w:t xml:space="preserve"> of the dealing</w:t>
      </w:r>
      <w:r w:rsidR="006514E4">
        <w:rPr>
          <w:color w:val="595959" w:themeColor="text1" w:themeTint="A6"/>
          <w:szCs w:val="20"/>
        </w:rPr>
        <w:t>.</w:t>
      </w:r>
    </w:p>
    <w:p w14:paraId="15777D2C" w14:textId="77777777" w:rsidR="00925DF4" w:rsidRPr="000411FA" w:rsidRDefault="00925DF4" w:rsidP="006607CA">
      <w:pPr>
        <w:pStyle w:val="Heading3"/>
      </w:pPr>
      <w:r w:rsidRPr="000411FA">
        <w:t>Integrity of the Titles Register</w:t>
      </w:r>
    </w:p>
    <w:p w14:paraId="2409B151" w14:textId="6E139791" w:rsidR="00925DF4" w:rsidRPr="00495ABC" w:rsidRDefault="00925DF4" w:rsidP="00BF2E2A">
      <w:pPr>
        <w:spacing w:before="0" w:after="0"/>
        <w:rPr>
          <w:color w:val="595959" w:themeColor="text1" w:themeTint="A6"/>
          <w:szCs w:val="20"/>
        </w:rPr>
      </w:pPr>
      <w:r w:rsidRPr="00495ABC">
        <w:rPr>
          <w:color w:val="595959" w:themeColor="text1" w:themeTint="A6"/>
          <w:szCs w:val="20"/>
        </w:rPr>
        <w:t>One of the TA’s legislative functions is to keep a register of offshore titles</w:t>
      </w:r>
      <w:r w:rsidR="003472F3">
        <w:rPr>
          <w:color w:val="595959" w:themeColor="text1" w:themeTint="A6"/>
          <w:szCs w:val="20"/>
        </w:rPr>
        <w:t>,</w:t>
      </w:r>
      <w:r w:rsidRPr="00495ABC">
        <w:rPr>
          <w:color w:val="595959" w:themeColor="text1" w:themeTint="A6"/>
          <w:szCs w:val="20"/>
        </w:rPr>
        <w:t xml:space="preserve"> petroleum special prospecting authorities </w:t>
      </w:r>
      <w:r w:rsidR="003472F3" w:rsidRPr="0083478A">
        <w:rPr>
          <w:color w:val="595959" w:themeColor="text1" w:themeTint="A6"/>
          <w:szCs w:val="20"/>
        </w:rPr>
        <w:t xml:space="preserve">and </w:t>
      </w:r>
      <w:r w:rsidR="00D0135A" w:rsidRPr="00D0135A">
        <w:rPr>
          <w:color w:val="595959" w:themeColor="text1" w:themeTint="A6"/>
          <w:szCs w:val="20"/>
        </w:rPr>
        <w:t>greenhouse gas search authorit</w:t>
      </w:r>
      <w:r w:rsidR="00D0135A">
        <w:rPr>
          <w:color w:val="595959" w:themeColor="text1" w:themeTint="A6"/>
          <w:szCs w:val="20"/>
        </w:rPr>
        <w:t>ies</w:t>
      </w:r>
      <w:r w:rsidR="00D0135A" w:rsidRPr="00D0135A">
        <w:rPr>
          <w:color w:val="595959" w:themeColor="text1" w:themeTint="A6"/>
          <w:szCs w:val="20"/>
        </w:rPr>
        <w:t xml:space="preserve"> </w:t>
      </w:r>
      <w:r w:rsidRPr="00495ABC">
        <w:rPr>
          <w:color w:val="595959" w:themeColor="text1" w:themeTint="A6"/>
          <w:szCs w:val="20"/>
        </w:rPr>
        <w:t>(the Titles Register – section</w:t>
      </w:r>
      <w:r w:rsidR="00C06452">
        <w:rPr>
          <w:color w:val="595959" w:themeColor="text1" w:themeTint="A6"/>
          <w:szCs w:val="20"/>
        </w:rPr>
        <w:t>s</w:t>
      </w:r>
      <w:r w:rsidRPr="00495ABC">
        <w:rPr>
          <w:color w:val="595959" w:themeColor="text1" w:themeTint="A6"/>
          <w:szCs w:val="20"/>
        </w:rPr>
        <w:t xml:space="preserve"> 469 </w:t>
      </w:r>
      <w:r w:rsidR="00D0135A">
        <w:rPr>
          <w:color w:val="595959" w:themeColor="text1" w:themeTint="A6"/>
          <w:szCs w:val="20"/>
        </w:rPr>
        <w:t xml:space="preserve">and 522 </w:t>
      </w:r>
      <w:r w:rsidRPr="00495ABC">
        <w:rPr>
          <w:color w:val="595959" w:themeColor="text1" w:themeTint="A6"/>
          <w:szCs w:val="20"/>
        </w:rPr>
        <w:t xml:space="preserve">of </w:t>
      </w:r>
      <w:r w:rsidRPr="00495ABC" w:rsidDel="008D610D">
        <w:rPr>
          <w:color w:val="595959" w:themeColor="text1" w:themeTint="A6"/>
          <w:szCs w:val="20"/>
        </w:rPr>
        <w:t xml:space="preserve">the </w:t>
      </w:r>
      <w:r w:rsidR="008D610D">
        <w:rPr>
          <w:color w:val="595959" w:themeColor="text1" w:themeTint="A6"/>
          <w:szCs w:val="20"/>
        </w:rPr>
        <w:t>OPGGS Act</w:t>
      </w:r>
      <w:r w:rsidRPr="00495ABC">
        <w:rPr>
          <w:color w:val="595959" w:themeColor="text1" w:themeTint="A6"/>
          <w:szCs w:val="20"/>
        </w:rPr>
        <w:t>).</w:t>
      </w:r>
    </w:p>
    <w:p w14:paraId="22E429F9" w14:textId="77E19512" w:rsidR="00925DF4" w:rsidRPr="00495ABC" w:rsidRDefault="00925DF4" w:rsidP="00F65D82">
      <w:pPr>
        <w:spacing w:after="0"/>
        <w:rPr>
          <w:color w:val="595959" w:themeColor="text1" w:themeTint="A6"/>
          <w:szCs w:val="20"/>
        </w:rPr>
      </w:pPr>
      <w:r w:rsidRPr="00495ABC">
        <w:rPr>
          <w:color w:val="595959" w:themeColor="text1" w:themeTint="A6"/>
          <w:szCs w:val="20"/>
        </w:rPr>
        <w:t>The Titles Register is a public record of matters relating to offshore petroleum</w:t>
      </w:r>
      <w:r w:rsidR="00D0135A">
        <w:rPr>
          <w:color w:val="595959" w:themeColor="text1" w:themeTint="A6"/>
          <w:szCs w:val="20"/>
        </w:rPr>
        <w:t xml:space="preserve"> and </w:t>
      </w:r>
      <w:r w:rsidR="00321B60">
        <w:rPr>
          <w:color w:val="595959" w:themeColor="text1" w:themeTint="A6"/>
          <w:szCs w:val="20"/>
        </w:rPr>
        <w:t>greenhouse gas</w:t>
      </w:r>
      <w:r w:rsidRPr="00495ABC">
        <w:rPr>
          <w:color w:val="595959" w:themeColor="text1" w:themeTint="A6"/>
          <w:szCs w:val="20"/>
        </w:rPr>
        <w:t xml:space="preserve"> titles, including commercial transactions such as dealings. It: </w:t>
      </w:r>
    </w:p>
    <w:p w14:paraId="262AFC1E" w14:textId="06341B79" w:rsidR="00925DF4" w:rsidRPr="00F65D82" w:rsidRDefault="00925DF4" w:rsidP="00610F35">
      <w:pPr>
        <w:pStyle w:val="bullet"/>
        <w:ind w:left="284" w:hanging="284"/>
      </w:pPr>
      <w:r w:rsidRPr="00F65D82">
        <w:t>must be open for inspection by any person (section</w:t>
      </w:r>
      <w:r w:rsidR="0027536A">
        <w:t>s</w:t>
      </w:r>
      <w:r w:rsidRPr="00F65D82">
        <w:t xml:space="preserve"> 515 </w:t>
      </w:r>
      <w:r w:rsidR="0027536A">
        <w:t xml:space="preserve">and 564 </w:t>
      </w:r>
      <w:r w:rsidRPr="00F65D82">
        <w:t xml:space="preserve">of </w:t>
      </w:r>
      <w:r w:rsidRPr="00F65D82" w:rsidDel="008D610D">
        <w:t>the</w:t>
      </w:r>
      <w:r w:rsidR="00280835" w:rsidRPr="00F65D82" w:rsidDel="008D610D">
        <w:t xml:space="preserve"> </w:t>
      </w:r>
      <w:r w:rsidR="008D610D" w:rsidRPr="004F4AE6">
        <w:t>OPGGS Act</w:t>
      </w:r>
      <w:r w:rsidRPr="00F65D82">
        <w:t>); and</w:t>
      </w:r>
    </w:p>
    <w:p w14:paraId="5A16C963" w14:textId="062A0807" w:rsidR="00925DF4" w:rsidRPr="00BF2E2A" w:rsidRDefault="00925DF4" w:rsidP="00BF2E2A">
      <w:pPr>
        <w:pStyle w:val="bullet"/>
        <w:ind w:left="284" w:hanging="284"/>
        <w:rPr>
          <w:color w:val="595959" w:themeColor="text1" w:themeTint="A6"/>
          <w:szCs w:val="20"/>
          <w:lang w:eastAsia="en-US"/>
        </w:rPr>
      </w:pPr>
      <w:r w:rsidRPr="00F65D82">
        <w:t xml:space="preserve">is to be received in all courts and legal proceedings as prima facie evidence of all matters required or </w:t>
      </w:r>
      <w:r w:rsidRPr="00BF2E2A">
        <w:rPr>
          <w:color w:val="595959" w:themeColor="text1" w:themeTint="A6"/>
          <w:szCs w:val="20"/>
          <w:lang w:eastAsia="en-US"/>
        </w:rPr>
        <w:t>authorised to be entered in it (section</w:t>
      </w:r>
      <w:r w:rsidR="0027536A" w:rsidRPr="00BF2E2A">
        <w:rPr>
          <w:color w:val="595959" w:themeColor="text1" w:themeTint="A6"/>
          <w:szCs w:val="20"/>
          <w:lang w:eastAsia="en-US"/>
        </w:rPr>
        <w:t>s</w:t>
      </w:r>
      <w:r w:rsidRPr="00BF2E2A">
        <w:rPr>
          <w:color w:val="595959" w:themeColor="text1" w:themeTint="A6"/>
          <w:szCs w:val="20"/>
          <w:lang w:eastAsia="en-US"/>
        </w:rPr>
        <w:t xml:space="preserve"> 516 </w:t>
      </w:r>
      <w:r w:rsidR="0027536A" w:rsidRPr="00BF2E2A">
        <w:rPr>
          <w:color w:val="595959" w:themeColor="text1" w:themeTint="A6"/>
          <w:szCs w:val="20"/>
          <w:lang w:eastAsia="en-US"/>
        </w:rPr>
        <w:t>and 56</w:t>
      </w:r>
      <w:r w:rsidR="003109DC" w:rsidRPr="00BF2E2A">
        <w:rPr>
          <w:color w:val="595959" w:themeColor="text1" w:themeTint="A6"/>
          <w:szCs w:val="20"/>
          <w:lang w:eastAsia="en-US"/>
        </w:rPr>
        <w:t>5</w:t>
      </w:r>
      <w:r w:rsidR="00F27FAD" w:rsidRPr="00BF2E2A">
        <w:rPr>
          <w:color w:val="595959" w:themeColor="text1" w:themeTint="A6"/>
          <w:szCs w:val="20"/>
          <w:lang w:eastAsia="en-US"/>
        </w:rPr>
        <w:t xml:space="preserve"> </w:t>
      </w:r>
      <w:r w:rsidRPr="00BF2E2A">
        <w:rPr>
          <w:color w:val="595959" w:themeColor="text1" w:themeTint="A6"/>
          <w:szCs w:val="20"/>
          <w:lang w:eastAsia="en-US"/>
        </w:rPr>
        <w:t xml:space="preserve">of </w:t>
      </w:r>
      <w:r w:rsidRPr="00BF2E2A" w:rsidDel="008D610D">
        <w:rPr>
          <w:color w:val="595959" w:themeColor="text1" w:themeTint="A6"/>
          <w:szCs w:val="20"/>
          <w:lang w:eastAsia="en-US"/>
        </w:rPr>
        <w:t xml:space="preserve">the </w:t>
      </w:r>
      <w:r w:rsidR="008D610D" w:rsidRPr="00BF2E2A">
        <w:rPr>
          <w:color w:val="595959" w:themeColor="text1" w:themeTint="A6"/>
          <w:szCs w:val="20"/>
          <w:lang w:eastAsia="en-US"/>
        </w:rPr>
        <w:t>OPGGS Act</w:t>
      </w:r>
      <w:r w:rsidRPr="00BF2E2A">
        <w:rPr>
          <w:color w:val="595959" w:themeColor="text1" w:themeTint="A6"/>
          <w:szCs w:val="20"/>
          <w:lang w:eastAsia="en-US"/>
        </w:rPr>
        <w:t>).</w:t>
      </w:r>
    </w:p>
    <w:p w14:paraId="3738C789" w14:textId="2D0A6A19" w:rsidR="00925DF4" w:rsidRPr="00495ABC" w:rsidRDefault="00D926B3" w:rsidP="00BF2E2A">
      <w:pPr>
        <w:spacing w:before="100" w:after="100"/>
        <w:rPr>
          <w:color w:val="595959" w:themeColor="text1" w:themeTint="A6"/>
          <w:szCs w:val="20"/>
        </w:rPr>
      </w:pPr>
      <w:r>
        <w:rPr>
          <w:color w:val="595959" w:themeColor="text1" w:themeTint="A6"/>
          <w:szCs w:val="20"/>
        </w:rPr>
        <w:t>The TA considers that t</w:t>
      </w:r>
      <w:r w:rsidR="00925DF4" w:rsidRPr="00495ABC">
        <w:rPr>
          <w:color w:val="595959" w:themeColor="text1" w:themeTint="A6"/>
          <w:szCs w:val="20"/>
        </w:rPr>
        <w:t>he</w:t>
      </w:r>
      <w:r w:rsidR="00925DF4" w:rsidRPr="00495ABC" w:rsidDel="00B532F2">
        <w:rPr>
          <w:color w:val="595959" w:themeColor="text1" w:themeTint="A6"/>
          <w:szCs w:val="20"/>
        </w:rPr>
        <w:t xml:space="preserve"> </w:t>
      </w:r>
      <w:r w:rsidR="00925DF4" w:rsidRPr="00495ABC">
        <w:rPr>
          <w:color w:val="595959" w:themeColor="text1" w:themeTint="A6"/>
          <w:szCs w:val="20"/>
        </w:rPr>
        <w:t>accuracy</w:t>
      </w:r>
      <w:r w:rsidR="002F3804">
        <w:rPr>
          <w:color w:val="595959" w:themeColor="text1" w:themeTint="A6"/>
          <w:szCs w:val="20"/>
        </w:rPr>
        <w:t>, reliability and legal compliance</w:t>
      </w:r>
      <w:r w:rsidR="00925DF4" w:rsidRPr="00495ABC">
        <w:rPr>
          <w:color w:val="595959" w:themeColor="text1" w:themeTint="A6"/>
          <w:szCs w:val="20"/>
        </w:rPr>
        <w:t xml:space="preserve"> of the Titles Register </w:t>
      </w:r>
      <w:r w:rsidR="00925DF4" w:rsidRPr="00495ABC" w:rsidDel="002F3804">
        <w:rPr>
          <w:color w:val="595959" w:themeColor="text1" w:themeTint="A6"/>
          <w:szCs w:val="20"/>
        </w:rPr>
        <w:t xml:space="preserve">to be </w:t>
      </w:r>
      <w:r w:rsidR="00E55350">
        <w:rPr>
          <w:color w:val="595959" w:themeColor="text1" w:themeTint="A6"/>
          <w:szCs w:val="20"/>
        </w:rPr>
        <w:t>significantly</w:t>
      </w:r>
      <w:r w:rsidR="00925DF4" w:rsidRPr="00495ABC">
        <w:rPr>
          <w:color w:val="595959" w:themeColor="text1" w:themeTint="A6"/>
          <w:szCs w:val="20"/>
        </w:rPr>
        <w:t xml:space="preserve"> importan</w:t>
      </w:r>
      <w:r w:rsidR="00E55350">
        <w:rPr>
          <w:color w:val="595959" w:themeColor="text1" w:themeTint="A6"/>
          <w:szCs w:val="20"/>
        </w:rPr>
        <w:t>t</w:t>
      </w:r>
      <w:r w:rsidR="00925DF4" w:rsidRPr="00495ABC">
        <w:rPr>
          <w:color w:val="595959" w:themeColor="text1" w:themeTint="A6"/>
          <w:szCs w:val="20"/>
        </w:rPr>
        <w:t>.</w:t>
      </w:r>
    </w:p>
    <w:p w14:paraId="184BB42E" w14:textId="77777777" w:rsidR="00925DF4" w:rsidRPr="00B11E22" w:rsidRDefault="00925DF4" w:rsidP="006834D7">
      <w:pPr>
        <w:pStyle w:val="Heading2"/>
      </w:pPr>
      <w:r w:rsidRPr="00B11E22">
        <w:t>Content</w:t>
      </w:r>
    </w:p>
    <w:p w14:paraId="2B4C0149" w14:textId="77777777" w:rsidR="00925DF4" w:rsidRPr="000411FA" w:rsidRDefault="00925DF4" w:rsidP="006607CA">
      <w:pPr>
        <w:pStyle w:val="Heading3"/>
      </w:pPr>
      <w:r w:rsidRPr="000411FA">
        <w:t xml:space="preserve">Information that must be included </w:t>
      </w:r>
    </w:p>
    <w:p w14:paraId="1DDA0651" w14:textId="53ABB87A" w:rsidR="00925DF4" w:rsidRPr="00495ABC" w:rsidRDefault="0048041C" w:rsidP="00BF2E2A">
      <w:pPr>
        <w:spacing w:before="0"/>
        <w:rPr>
          <w:color w:val="595959" w:themeColor="text1" w:themeTint="A6"/>
          <w:szCs w:val="20"/>
          <w:lang w:eastAsia="en-AU"/>
        </w:rPr>
      </w:pPr>
      <w:r>
        <w:rPr>
          <w:color w:val="595959" w:themeColor="text1" w:themeTint="A6"/>
          <w:szCs w:val="20"/>
        </w:rPr>
        <w:t xml:space="preserve">Schedules 2 and 4 of </w:t>
      </w:r>
      <w:r w:rsidR="00495ABC" w:rsidRPr="001D08A9">
        <w:rPr>
          <w:i/>
          <w:szCs w:val="24"/>
        </w:rPr>
        <w:t>Offshore Petroleum and Greenhouse Gas Storage (Approved Forms) Notifiable Instrument 202</w:t>
      </w:r>
      <w:r w:rsidR="00E3662D">
        <w:rPr>
          <w:i/>
          <w:szCs w:val="24"/>
        </w:rPr>
        <w:t>6</w:t>
      </w:r>
      <w:r w:rsidR="00495ABC" w:rsidRPr="001D08A9">
        <w:rPr>
          <w:i/>
          <w:szCs w:val="24"/>
        </w:rPr>
        <w:t xml:space="preserve"> </w:t>
      </w:r>
      <w:r w:rsidR="00495ABC" w:rsidRPr="001D08A9">
        <w:rPr>
          <w:szCs w:val="24"/>
        </w:rPr>
        <w:t>(</w:t>
      </w:r>
      <w:r w:rsidR="00495ABC" w:rsidRPr="001D08A9">
        <w:rPr>
          <w:rStyle w:val="Strong"/>
        </w:rPr>
        <w:t>Notifiable Instrument</w:t>
      </w:r>
      <w:r w:rsidR="00495ABC" w:rsidRPr="001D08A9">
        <w:rPr>
          <w:szCs w:val="24"/>
        </w:rPr>
        <w:t>)</w:t>
      </w:r>
      <w:r w:rsidR="00495ABC" w:rsidRPr="00CD4488">
        <w:rPr>
          <w:szCs w:val="24"/>
        </w:rPr>
        <w:t xml:space="preserve"> </w:t>
      </w:r>
      <w:r w:rsidR="00925DF4" w:rsidRPr="00CD4488">
        <w:rPr>
          <w:color w:val="595959" w:themeColor="text1" w:themeTint="A6"/>
          <w:szCs w:val="20"/>
        </w:rPr>
        <w:t>set</w:t>
      </w:r>
      <w:r w:rsidR="00925DF4" w:rsidRPr="00495ABC">
        <w:rPr>
          <w:color w:val="595959" w:themeColor="text1" w:themeTint="A6"/>
          <w:szCs w:val="20"/>
        </w:rPr>
        <w:t xml:space="preserve"> out the information that must be included in a supplementary instrument.</w:t>
      </w:r>
    </w:p>
    <w:p w14:paraId="50311F20" w14:textId="77777777" w:rsidR="00925DF4" w:rsidRPr="00495ABC" w:rsidRDefault="00925DF4" w:rsidP="00F65D82">
      <w:pPr>
        <w:spacing w:after="0"/>
        <w:rPr>
          <w:color w:val="595959" w:themeColor="text1" w:themeTint="A6"/>
          <w:szCs w:val="20"/>
        </w:rPr>
      </w:pPr>
      <w:r w:rsidRPr="00495ABC">
        <w:rPr>
          <w:color w:val="595959" w:themeColor="text1" w:themeTint="A6"/>
          <w:szCs w:val="20"/>
        </w:rPr>
        <w:t>In summary, this includes:</w:t>
      </w:r>
    </w:p>
    <w:p w14:paraId="0783F654" w14:textId="77777777" w:rsidR="00925DF4" w:rsidRPr="00F65D82" w:rsidRDefault="00925DF4" w:rsidP="00BF2E2A">
      <w:pPr>
        <w:pStyle w:val="bullet"/>
        <w:ind w:left="284" w:hanging="284"/>
      </w:pPr>
      <w:r w:rsidRPr="00F65D82">
        <w:t xml:space="preserve">a description of the dealing and its date of </w:t>
      </w:r>
      <w:proofErr w:type="gramStart"/>
      <w:r w:rsidRPr="00F65D82">
        <w:t>execution;</w:t>
      </w:r>
      <w:proofErr w:type="gramEnd"/>
    </w:p>
    <w:p w14:paraId="6C8DB6FA" w14:textId="7DD0FDC1" w:rsidR="00925DF4" w:rsidRPr="00F65D82" w:rsidRDefault="00925DF4" w:rsidP="00BF2E2A">
      <w:pPr>
        <w:pStyle w:val="bullet"/>
        <w:ind w:left="284" w:hanging="284"/>
      </w:pPr>
      <w:r w:rsidRPr="00F65D82">
        <w:t xml:space="preserve">details of the title to which the dealing </w:t>
      </w:r>
      <w:proofErr w:type="gramStart"/>
      <w:r w:rsidRPr="00F65D82">
        <w:t>relates;</w:t>
      </w:r>
      <w:proofErr w:type="gramEnd"/>
    </w:p>
    <w:p w14:paraId="13B17315" w14:textId="77777777" w:rsidR="00925DF4" w:rsidRPr="00F65D82" w:rsidRDefault="00925DF4" w:rsidP="00BF2E2A">
      <w:pPr>
        <w:pStyle w:val="bullet"/>
        <w:ind w:left="284" w:hanging="284"/>
      </w:pPr>
      <w:r w:rsidRPr="00F65D82">
        <w:t xml:space="preserve">the name and business address of the parties to the </w:t>
      </w:r>
      <w:proofErr w:type="gramStart"/>
      <w:r w:rsidRPr="00F65D82">
        <w:t>dealing;</w:t>
      </w:r>
      <w:proofErr w:type="gramEnd"/>
    </w:p>
    <w:p w14:paraId="1998B397" w14:textId="77777777" w:rsidR="00925DF4" w:rsidRPr="00F65D82" w:rsidRDefault="00925DF4" w:rsidP="00BF2E2A">
      <w:pPr>
        <w:pStyle w:val="bullet"/>
        <w:ind w:left="284" w:hanging="284"/>
      </w:pPr>
      <w:r w:rsidRPr="00F65D82">
        <w:t xml:space="preserve">details of the effect(s) of the dealing upon </w:t>
      </w:r>
      <w:proofErr w:type="gramStart"/>
      <w:r w:rsidRPr="00F65D82">
        <w:t>registration;</w:t>
      </w:r>
      <w:proofErr w:type="gramEnd"/>
    </w:p>
    <w:p w14:paraId="122E5BDC" w14:textId="3A31AA9E" w:rsidR="00925DF4" w:rsidRPr="00F65D82" w:rsidRDefault="00925DF4" w:rsidP="00BF2E2A">
      <w:pPr>
        <w:pStyle w:val="bullet"/>
        <w:ind w:left="284" w:hanging="284"/>
      </w:pPr>
      <w:r w:rsidRPr="00F65D82">
        <w:t xml:space="preserve">details of the </w:t>
      </w:r>
      <w:r w:rsidR="001A5DD6">
        <w:t xml:space="preserve">titleholders’ and </w:t>
      </w:r>
      <w:r w:rsidRPr="00F65D82">
        <w:t>parties’ interests in the title before and after approval and registration of the dealing; and</w:t>
      </w:r>
    </w:p>
    <w:p w14:paraId="1786BCA6" w14:textId="5A2CD4E0" w:rsidR="00925DF4" w:rsidRPr="00F65D82" w:rsidRDefault="00925DF4" w:rsidP="00BF2E2A">
      <w:pPr>
        <w:pStyle w:val="bullet"/>
        <w:ind w:left="284" w:hanging="284"/>
      </w:pPr>
      <w:r w:rsidRPr="00F65D82">
        <w:t>details of any related dealings.</w:t>
      </w:r>
    </w:p>
    <w:p w14:paraId="26FFE8D9" w14:textId="77777777" w:rsidR="00925DF4" w:rsidRPr="000411FA" w:rsidRDefault="00925DF4" w:rsidP="006607CA">
      <w:pPr>
        <w:pStyle w:val="Heading3"/>
      </w:pPr>
      <w:r w:rsidRPr="000411FA">
        <w:t xml:space="preserve">Level of detail </w:t>
      </w:r>
    </w:p>
    <w:p w14:paraId="42949DAE" w14:textId="77777777" w:rsidR="00925DF4" w:rsidRPr="00495ABC" w:rsidRDefault="00925DF4" w:rsidP="00BF2E2A">
      <w:pPr>
        <w:spacing w:before="0"/>
        <w:rPr>
          <w:color w:val="595959" w:themeColor="text1" w:themeTint="A6"/>
          <w:szCs w:val="20"/>
        </w:rPr>
      </w:pPr>
      <w:r w:rsidRPr="00495ABC">
        <w:rPr>
          <w:color w:val="595959" w:themeColor="text1" w:themeTint="A6"/>
          <w:szCs w:val="20"/>
        </w:rPr>
        <w:t xml:space="preserve">A supplementary instrument should contain, in plain English, as much information as possible about the legal effect(s) of the dealing. </w:t>
      </w:r>
    </w:p>
    <w:p w14:paraId="5A71F5AD" w14:textId="77777777" w:rsidR="00925DF4" w:rsidRPr="00495ABC" w:rsidRDefault="00925DF4" w:rsidP="00925DF4">
      <w:pPr>
        <w:rPr>
          <w:color w:val="595959" w:themeColor="text1" w:themeTint="A6"/>
          <w:szCs w:val="20"/>
        </w:rPr>
      </w:pPr>
      <w:r w:rsidRPr="00495ABC">
        <w:rPr>
          <w:color w:val="595959" w:themeColor="text1" w:themeTint="A6"/>
          <w:szCs w:val="20"/>
        </w:rPr>
        <w:t>Where the TA is not satisfied that sufficient detail has been provided the applicant may be requested to amend the supplementary instrument.</w:t>
      </w:r>
    </w:p>
    <w:p w14:paraId="4066F0BF" w14:textId="36842C6A" w:rsidR="00925DF4" w:rsidRPr="00495ABC" w:rsidRDefault="00925DF4" w:rsidP="00925DF4">
      <w:pPr>
        <w:rPr>
          <w:color w:val="595959" w:themeColor="text1" w:themeTint="A6"/>
          <w:szCs w:val="20"/>
        </w:rPr>
      </w:pPr>
      <w:r w:rsidRPr="00495ABC">
        <w:rPr>
          <w:color w:val="595959" w:themeColor="text1" w:themeTint="A6"/>
          <w:szCs w:val="20"/>
        </w:rPr>
        <w:t>To assist applicants, a sample supplementary instrument, with guidance notes on addressing the required details, is appended to this fact sheet (</w:t>
      </w:r>
      <w:r w:rsidRPr="00495ABC">
        <w:rPr>
          <w:b/>
          <w:bCs/>
          <w:color w:val="595959" w:themeColor="text1" w:themeTint="A6"/>
          <w:szCs w:val="20"/>
        </w:rPr>
        <w:t>Appendix A</w:t>
      </w:r>
      <w:r w:rsidRPr="00495ABC">
        <w:rPr>
          <w:color w:val="595959" w:themeColor="text1" w:themeTint="A6"/>
          <w:szCs w:val="20"/>
        </w:rPr>
        <w:t>).</w:t>
      </w:r>
      <w:bookmarkStart w:id="0" w:name="_Hlk526427160"/>
    </w:p>
    <w:p w14:paraId="294944A1" w14:textId="3E724251" w:rsidR="00925DF4" w:rsidRPr="00B11E22" w:rsidRDefault="00925DF4" w:rsidP="006834D7">
      <w:pPr>
        <w:pStyle w:val="Heading2"/>
      </w:pPr>
      <w:r w:rsidRPr="00B11E22">
        <w:t>More information</w:t>
      </w:r>
    </w:p>
    <w:p w14:paraId="7ADAA0D6" w14:textId="77777777" w:rsidR="00925DF4" w:rsidRPr="00495ABC" w:rsidRDefault="00925DF4" w:rsidP="00925DF4">
      <w:pPr>
        <w:rPr>
          <w:szCs w:val="20"/>
        </w:rPr>
      </w:pPr>
      <w:r w:rsidRPr="00495ABC">
        <w:rPr>
          <w:color w:val="595959" w:themeColor="text1" w:themeTint="A6"/>
          <w:szCs w:val="20"/>
        </w:rPr>
        <w:t xml:space="preserve">If you have any specific questions, please contact NOPTA via </w:t>
      </w:r>
      <w:hyperlink r:id="rId21" w:history="1">
        <w:r w:rsidRPr="00495ABC">
          <w:rPr>
            <w:rStyle w:val="Hyperlink"/>
            <w:szCs w:val="20"/>
            <w:lang w:eastAsia="en-AU"/>
          </w:rPr>
          <w:t>titles@nopta.gov.au</w:t>
        </w:r>
      </w:hyperlink>
      <w:r w:rsidRPr="00495ABC">
        <w:rPr>
          <w:szCs w:val="20"/>
        </w:rPr>
        <w:t>.</w:t>
      </w:r>
    </w:p>
    <w:p w14:paraId="30593578" w14:textId="77777777" w:rsidR="00925DF4" w:rsidRDefault="00925DF4" w:rsidP="00925DF4">
      <w:pPr>
        <w:rPr>
          <w:iCs/>
          <w:color w:val="595959" w:themeColor="text1" w:themeTint="A6"/>
        </w:rPr>
      </w:pPr>
      <w:r w:rsidRPr="00F65D82">
        <w:rPr>
          <w:b/>
          <w:iCs/>
          <w:color w:val="595959" w:themeColor="text1" w:themeTint="A6"/>
          <w:sz w:val="18"/>
          <w:szCs w:val="18"/>
          <w:lang w:eastAsia="en-AU"/>
        </w:rPr>
        <w:t>Please note:</w:t>
      </w:r>
      <w:r w:rsidRPr="00F65D82">
        <w:rPr>
          <w:iCs/>
          <w:color w:val="595959" w:themeColor="text1" w:themeTint="A6"/>
          <w:sz w:val="18"/>
          <w:szCs w:val="18"/>
          <w:lang w:eastAsia="en-AU"/>
        </w:rPr>
        <w:t xml:space="preserve"> this document is intended as a guide only and should not be relied on as legal advice or regarded as a substitute for legal advice in individual cases.</w:t>
      </w:r>
      <w:bookmarkEnd w:id="0"/>
      <w:r w:rsidRPr="00495ABC">
        <w:rPr>
          <w:iCs/>
          <w:color w:val="595959" w:themeColor="text1" w:themeTint="A6"/>
        </w:rPr>
        <w:t xml:space="preserve"> </w:t>
      </w:r>
    </w:p>
    <w:p w14:paraId="52853255" w14:textId="77777777" w:rsidR="005072A4" w:rsidRPr="00B11E22" w:rsidRDefault="005072A4" w:rsidP="005072A4">
      <w:pPr>
        <w:pStyle w:val="Heading2"/>
      </w:pPr>
      <w:r w:rsidRPr="00B11E22">
        <w:t>Version History</w:t>
      </w:r>
    </w:p>
    <w:tbl>
      <w:tblPr>
        <w:tblStyle w:val="GridTable1Light1"/>
        <w:tblW w:w="4957" w:type="dxa"/>
        <w:tblLayout w:type="fixed"/>
        <w:tblCellMar>
          <w:left w:w="57" w:type="dxa"/>
          <w:right w:w="57" w:type="dxa"/>
        </w:tblCellMar>
        <w:tblLook w:val="0420" w:firstRow="1" w:lastRow="0" w:firstColumn="0" w:lastColumn="0" w:noHBand="0" w:noVBand="1"/>
      </w:tblPr>
      <w:tblGrid>
        <w:gridCol w:w="704"/>
        <w:gridCol w:w="992"/>
        <w:gridCol w:w="3261"/>
      </w:tblGrid>
      <w:tr w:rsidR="005072A4" w:rsidRPr="00495ABC" w14:paraId="3F1A0353" w14:textId="77777777">
        <w:trPr>
          <w:cnfStyle w:val="100000000000" w:firstRow="1" w:lastRow="0" w:firstColumn="0" w:lastColumn="0" w:oddVBand="0" w:evenVBand="0" w:oddHBand="0" w:evenHBand="0" w:firstRowFirstColumn="0" w:firstRowLastColumn="0" w:lastRowFirstColumn="0" w:lastRowLastColumn="0"/>
          <w:tblHeader/>
        </w:trPr>
        <w:tc>
          <w:tcPr>
            <w:tcW w:w="704" w:type="dxa"/>
          </w:tcPr>
          <w:p w14:paraId="5AE8D9E4" w14:textId="77777777" w:rsidR="005072A4" w:rsidRPr="005D6CFE" w:rsidRDefault="005072A4">
            <w:pPr>
              <w:spacing w:before="0" w:after="0"/>
              <w:jc w:val="center"/>
              <w:rPr>
                <w:rFonts w:cs="Calibri"/>
                <w:sz w:val="16"/>
                <w:szCs w:val="16"/>
              </w:rPr>
            </w:pPr>
            <w:r w:rsidRPr="005D6CFE">
              <w:rPr>
                <w:rFonts w:cs="Calibri"/>
                <w:sz w:val="16"/>
                <w:szCs w:val="16"/>
              </w:rPr>
              <w:t>Version</w:t>
            </w:r>
          </w:p>
        </w:tc>
        <w:tc>
          <w:tcPr>
            <w:tcW w:w="992" w:type="dxa"/>
          </w:tcPr>
          <w:p w14:paraId="31FBF910" w14:textId="77777777" w:rsidR="005072A4" w:rsidRPr="005D6CFE" w:rsidRDefault="005072A4">
            <w:pPr>
              <w:spacing w:before="0" w:after="0"/>
              <w:jc w:val="center"/>
              <w:rPr>
                <w:rFonts w:cs="Calibri"/>
                <w:sz w:val="16"/>
                <w:szCs w:val="16"/>
              </w:rPr>
            </w:pPr>
            <w:r w:rsidRPr="005D6CFE">
              <w:rPr>
                <w:rFonts w:cs="Calibri"/>
                <w:sz w:val="16"/>
                <w:szCs w:val="16"/>
              </w:rPr>
              <w:t>Date</w:t>
            </w:r>
          </w:p>
        </w:tc>
        <w:tc>
          <w:tcPr>
            <w:tcW w:w="3261" w:type="dxa"/>
          </w:tcPr>
          <w:p w14:paraId="2A8EB09B" w14:textId="77777777" w:rsidR="005072A4" w:rsidRPr="005D6CFE" w:rsidRDefault="005072A4">
            <w:pPr>
              <w:spacing w:before="0" w:after="0"/>
              <w:jc w:val="center"/>
              <w:rPr>
                <w:rFonts w:cs="Calibri"/>
                <w:sz w:val="16"/>
                <w:szCs w:val="16"/>
              </w:rPr>
            </w:pPr>
            <w:r w:rsidRPr="005D6CFE">
              <w:rPr>
                <w:rFonts w:cs="Calibri"/>
                <w:sz w:val="16"/>
                <w:szCs w:val="16"/>
              </w:rPr>
              <w:t>Comment</w:t>
            </w:r>
          </w:p>
        </w:tc>
      </w:tr>
      <w:tr w:rsidR="005072A4" w:rsidRPr="00495ABC" w14:paraId="7B13BAA9" w14:textId="77777777" w:rsidTr="00BF2E2A">
        <w:tc>
          <w:tcPr>
            <w:tcW w:w="704" w:type="dxa"/>
          </w:tcPr>
          <w:p w14:paraId="63FE58E6" w14:textId="77777777" w:rsidR="005072A4" w:rsidRPr="001C3CEF" w:rsidRDefault="005072A4">
            <w:pPr>
              <w:spacing w:before="0" w:after="0"/>
              <w:jc w:val="center"/>
              <w:rPr>
                <w:rFonts w:cs="Calibri"/>
                <w:sz w:val="16"/>
                <w:szCs w:val="16"/>
              </w:rPr>
            </w:pPr>
            <w:r w:rsidRPr="001C3CEF">
              <w:rPr>
                <w:rFonts w:cs="Calibri"/>
                <w:sz w:val="16"/>
                <w:szCs w:val="16"/>
              </w:rPr>
              <w:t>2.0</w:t>
            </w:r>
          </w:p>
        </w:tc>
        <w:tc>
          <w:tcPr>
            <w:tcW w:w="992" w:type="dxa"/>
          </w:tcPr>
          <w:p w14:paraId="2FA54FEA" w14:textId="77777777" w:rsidR="005072A4" w:rsidRPr="001C3CEF" w:rsidRDefault="005072A4">
            <w:pPr>
              <w:tabs>
                <w:tab w:val="left" w:pos="371"/>
              </w:tabs>
              <w:spacing w:before="0" w:after="0"/>
              <w:jc w:val="center"/>
              <w:rPr>
                <w:rFonts w:cstheme="minorHAnsi"/>
                <w:sz w:val="16"/>
                <w:szCs w:val="16"/>
              </w:rPr>
            </w:pPr>
            <w:r w:rsidRPr="001C3CEF">
              <w:rPr>
                <w:rFonts w:cstheme="minorHAnsi"/>
                <w:sz w:val="16"/>
                <w:szCs w:val="16"/>
              </w:rPr>
              <w:t>31/03/2026</w:t>
            </w:r>
          </w:p>
        </w:tc>
        <w:tc>
          <w:tcPr>
            <w:tcW w:w="3261" w:type="dxa"/>
          </w:tcPr>
          <w:p w14:paraId="73F78E1C" w14:textId="77777777" w:rsidR="005072A4" w:rsidRPr="001C3CEF" w:rsidRDefault="005072A4">
            <w:pPr>
              <w:spacing w:before="0" w:after="0"/>
              <w:rPr>
                <w:rFonts w:cstheme="minorHAnsi"/>
                <w:sz w:val="16"/>
                <w:szCs w:val="16"/>
              </w:rPr>
            </w:pPr>
            <w:r w:rsidRPr="001C3CEF">
              <w:rPr>
                <w:rFonts w:cstheme="minorHAnsi"/>
                <w:color w:val="595959" w:themeColor="text1" w:themeTint="A6"/>
                <w:sz w:val="16"/>
                <w:szCs w:val="16"/>
              </w:rPr>
              <w:t xml:space="preserve">Update to reflect </w:t>
            </w:r>
            <w:r>
              <w:rPr>
                <w:rFonts w:cstheme="minorHAnsi"/>
                <w:color w:val="595959" w:themeColor="text1" w:themeTint="A6"/>
                <w:sz w:val="16"/>
                <w:szCs w:val="16"/>
              </w:rPr>
              <w:t xml:space="preserve">new </w:t>
            </w:r>
            <w:r w:rsidRPr="001C3CEF">
              <w:rPr>
                <w:rFonts w:cstheme="minorHAnsi"/>
                <w:color w:val="595959" w:themeColor="text1" w:themeTint="A6"/>
                <w:sz w:val="16"/>
                <w:szCs w:val="16"/>
              </w:rPr>
              <w:t>form for supplementary instruments</w:t>
            </w:r>
            <w:r>
              <w:rPr>
                <w:rFonts w:cstheme="minorHAnsi"/>
                <w:color w:val="595959" w:themeColor="text1" w:themeTint="A6"/>
                <w:sz w:val="16"/>
                <w:szCs w:val="16"/>
              </w:rPr>
              <w:t xml:space="preserve"> and include greenhouse gas </w:t>
            </w:r>
          </w:p>
        </w:tc>
      </w:tr>
      <w:tr w:rsidR="005072A4" w:rsidRPr="00495ABC" w14:paraId="7E65FA6F" w14:textId="77777777" w:rsidTr="00BF2E2A">
        <w:tc>
          <w:tcPr>
            <w:tcW w:w="704" w:type="dxa"/>
          </w:tcPr>
          <w:p w14:paraId="3EECD437" w14:textId="77777777" w:rsidR="005072A4" w:rsidRPr="001C3CEF" w:rsidRDefault="005072A4">
            <w:pPr>
              <w:spacing w:before="0" w:after="0"/>
              <w:jc w:val="center"/>
              <w:rPr>
                <w:rFonts w:cs="Calibri"/>
                <w:sz w:val="16"/>
                <w:szCs w:val="16"/>
              </w:rPr>
            </w:pPr>
            <w:r w:rsidRPr="001C3CEF">
              <w:rPr>
                <w:rFonts w:cs="Calibri"/>
                <w:sz w:val="16"/>
                <w:szCs w:val="16"/>
              </w:rPr>
              <w:t>1.0</w:t>
            </w:r>
          </w:p>
        </w:tc>
        <w:tc>
          <w:tcPr>
            <w:tcW w:w="992" w:type="dxa"/>
          </w:tcPr>
          <w:p w14:paraId="1E960E56" w14:textId="77777777" w:rsidR="005072A4" w:rsidRPr="001C3CEF" w:rsidRDefault="005072A4">
            <w:pPr>
              <w:tabs>
                <w:tab w:val="left" w:pos="371"/>
              </w:tabs>
              <w:spacing w:before="0" w:after="0"/>
              <w:jc w:val="center"/>
              <w:rPr>
                <w:rFonts w:cs="Calibri"/>
                <w:sz w:val="16"/>
                <w:szCs w:val="16"/>
              </w:rPr>
            </w:pPr>
            <w:r w:rsidRPr="001C3CEF">
              <w:rPr>
                <w:rFonts w:cs="Calibri"/>
                <w:sz w:val="16"/>
                <w:szCs w:val="16"/>
              </w:rPr>
              <w:t>18/11/2020</w:t>
            </w:r>
          </w:p>
        </w:tc>
        <w:tc>
          <w:tcPr>
            <w:tcW w:w="3261" w:type="dxa"/>
          </w:tcPr>
          <w:p w14:paraId="7DB0B03C" w14:textId="77777777" w:rsidR="005072A4" w:rsidRPr="001C3CEF" w:rsidRDefault="005072A4">
            <w:pPr>
              <w:spacing w:before="0" w:after="0"/>
              <w:rPr>
                <w:rFonts w:cs="Calibri"/>
                <w:sz w:val="16"/>
                <w:szCs w:val="16"/>
              </w:rPr>
            </w:pPr>
          </w:p>
        </w:tc>
      </w:tr>
    </w:tbl>
    <w:p w14:paraId="54E730B4" w14:textId="77777777" w:rsidR="006607CA" w:rsidRDefault="006607CA">
      <w:pPr>
        <w:tabs>
          <w:tab w:val="left" w:pos="766"/>
          <w:tab w:val="left" w:pos="1758"/>
        </w:tabs>
        <w:spacing w:before="0" w:after="0"/>
        <w:ind w:left="62"/>
        <w:rPr>
          <w:rFonts w:cs="Calibri"/>
          <w:sz w:val="16"/>
          <w:szCs w:val="16"/>
        </w:rPr>
      </w:pPr>
    </w:p>
    <w:p w14:paraId="67117D62" w14:textId="6C42ACAC" w:rsidR="006607CA" w:rsidRPr="001C3CEF" w:rsidRDefault="006607CA">
      <w:pPr>
        <w:tabs>
          <w:tab w:val="left" w:pos="766"/>
          <w:tab w:val="left" w:pos="1758"/>
        </w:tabs>
        <w:spacing w:before="0" w:after="0"/>
        <w:ind w:left="62"/>
        <w:rPr>
          <w:rFonts w:cs="Calibri"/>
          <w:sz w:val="16"/>
          <w:szCs w:val="16"/>
        </w:rPr>
      </w:pPr>
      <w:r w:rsidRPr="001C3CEF">
        <w:rPr>
          <w:rFonts w:cs="Calibri"/>
          <w:sz w:val="16"/>
          <w:szCs w:val="16"/>
        </w:rPr>
        <w:tab/>
      </w:r>
      <w:r w:rsidRPr="001C3CEF">
        <w:rPr>
          <w:rFonts w:cs="Calibri"/>
          <w:sz w:val="16"/>
          <w:szCs w:val="16"/>
        </w:rPr>
        <w:tab/>
      </w:r>
    </w:p>
    <w:p w14:paraId="438691CB" w14:textId="77777777" w:rsidR="005072A4" w:rsidRDefault="005072A4" w:rsidP="00925DF4">
      <w:pPr>
        <w:rPr>
          <w:iCs/>
          <w:color w:val="595959" w:themeColor="text1" w:themeTint="A6"/>
        </w:rPr>
        <w:sectPr w:rsidR="005072A4" w:rsidSect="00BF2E2A">
          <w:headerReference w:type="default" r:id="rId22"/>
          <w:type w:val="continuous"/>
          <w:pgSz w:w="11906" w:h="16838"/>
          <w:pgMar w:top="2381" w:right="851" w:bottom="851" w:left="851" w:header="709" w:footer="397" w:gutter="0"/>
          <w:cols w:num="2" w:space="227"/>
          <w:docGrid w:linePitch="360"/>
        </w:sectPr>
      </w:pPr>
    </w:p>
    <w:p w14:paraId="1ED4485E" w14:textId="77777777" w:rsidR="00F52859" w:rsidRDefault="00F52859" w:rsidP="00925DF4">
      <w:pPr>
        <w:rPr>
          <w:sz w:val="2"/>
        </w:rPr>
        <w:sectPr w:rsidR="00F52859" w:rsidSect="00BF2E2A">
          <w:type w:val="continuous"/>
          <w:pgSz w:w="11906" w:h="16838"/>
          <w:pgMar w:top="2381" w:right="851" w:bottom="851" w:left="851" w:header="709" w:footer="397" w:gutter="0"/>
          <w:cols w:space="397"/>
          <w:docGrid w:linePitch="360"/>
        </w:sectPr>
      </w:pPr>
    </w:p>
    <w:p w14:paraId="7B766D55" w14:textId="4AB2E078" w:rsidR="00925DF4" w:rsidRPr="00495ABC" w:rsidRDefault="00925DF4" w:rsidP="00925DF4">
      <w:pPr>
        <w:rPr>
          <w:sz w:val="2"/>
        </w:rPr>
      </w:pPr>
    </w:p>
    <w:p w14:paraId="4B6A6BE0" w14:textId="77777777" w:rsidR="005355EE" w:rsidRPr="00495ABC" w:rsidRDefault="005355EE" w:rsidP="00B400F6">
      <w:pPr>
        <w:sectPr w:rsidR="005355EE" w:rsidRPr="00495ABC" w:rsidSect="003F224E">
          <w:type w:val="continuous"/>
          <w:pgSz w:w="11906" w:h="16838"/>
          <w:pgMar w:top="2381" w:right="851" w:bottom="851" w:left="851" w:header="709" w:footer="397" w:gutter="0"/>
          <w:cols w:num="2" w:space="397"/>
          <w:docGrid w:linePitch="360"/>
        </w:sectPr>
      </w:pPr>
    </w:p>
    <w:p w14:paraId="3C1138CE" w14:textId="50E7D015" w:rsidR="005355EE" w:rsidRPr="00134874" w:rsidRDefault="005355EE" w:rsidP="006834D7">
      <w:pPr>
        <w:pStyle w:val="Heading1"/>
      </w:pPr>
      <w:bookmarkStart w:id="1" w:name="_Hlk20150072"/>
      <w:r w:rsidRPr="00134874">
        <w:lastRenderedPageBreak/>
        <w:t>Appendix A</w:t>
      </w:r>
    </w:p>
    <w:p w14:paraId="7BBD0296" w14:textId="51EEA6C2" w:rsidR="005355EE" w:rsidRPr="00E26354" w:rsidRDefault="005355EE" w:rsidP="006834D7">
      <w:pPr>
        <w:pStyle w:val="Heading2"/>
        <w:rPr>
          <w:lang w:eastAsia="en-AU"/>
        </w:rPr>
      </w:pPr>
      <w:r w:rsidRPr="00E26354">
        <w:rPr>
          <w:lang w:eastAsia="en-AU"/>
        </w:rPr>
        <w:t>Supplementary Instrument Details</w:t>
      </w:r>
    </w:p>
    <w:p w14:paraId="48A88C9A" w14:textId="4BED722C" w:rsidR="001A5DEB" w:rsidRDefault="00EB3014" w:rsidP="00103ABD">
      <w:pPr>
        <w:spacing w:before="240" w:after="240"/>
      </w:pPr>
      <w:r w:rsidRPr="00F65D82">
        <w:rPr>
          <w:rStyle w:val="Strong"/>
        </w:rPr>
        <w:t xml:space="preserve">Supplementary instrument to accompany an application for approval of dealing under subsection 489(2) </w:t>
      </w:r>
      <w:r w:rsidR="00DF29E0">
        <w:rPr>
          <w:rStyle w:val="Strong"/>
        </w:rPr>
        <w:t xml:space="preserve">or </w:t>
      </w:r>
      <w:r w:rsidR="00415B7C">
        <w:rPr>
          <w:rStyle w:val="Strong"/>
        </w:rPr>
        <w:t xml:space="preserve">540(2) </w:t>
      </w:r>
      <w:r w:rsidRPr="00F65D82">
        <w:rPr>
          <w:rStyle w:val="Strong"/>
        </w:rPr>
        <w:t>of the OPGGS Act</w:t>
      </w:r>
      <w:r w:rsidRPr="00EB3014">
        <w:t>.</w:t>
      </w:r>
    </w:p>
    <w:p w14:paraId="61B8EF28" w14:textId="667DA476" w:rsidR="005355EE" w:rsidRPr="00495ABC" w:rsidRDefault="001A5DEB" w:rsidP="00103ABD">
      <w:pPr>
        <w:spacing w:before="240" w:after="240"/>
        <w:rPr>
          <w:b/>
          <w:bCs/>
          <w:i/>
          <w:iCs/>
        </w:rPr>
      </w:pPr>
      <w:r w:rsidRPr="001A5DEB">
        <w:t>Where a dealing relates to more than one title, separate supplementary instruments must be submitted for each title, providing details in respect of that individual title only.</w:t>
      </w:r>
    </w:p>
    <w:p w14:paraId="50A3C0EA" w14:textId="14515B9E" w:rsidR="00B93293" w:rsidRDefault="0098616A" w:rsidP="00134874">
      <w:pPr>
        <w:pStyle w:val="ListParagraph"/>
        <w:spacing w:after="120"/>
        <w:ind w:left="357" w:hanging="357"/>
        <w:contextualSpacing w:val="0"/>
        <w:jc w:val="left"/>
      </w:pPr>
      <w:r>
        <w:t xml:space="preserve">Name </w:t>
      </w:r>
      <w:r w:rsidR="00294977">
        <w:t>of dealing</w:t>
      </w:r>
    </w:p>
    <w:p w14:paraId="0EBBCAD8" w14:textId="10348276" w:rsidR="005355EE" w:rsidRDefault="00B93293" w:rsidP="00134874">
      <w:pPr>
        <w:pStyle w:val="ListParagraph"/>
        <w:numPr>
          <w:ilvl w:val="0"/>
          <w:numId w:val="0"/>
        </w:numPr>
        <w:tabs>
          <w:tab w:val="left" w:pos="9923"/>
        </w:tabs>
        <w:spacing w:before="120"/>
        <w:ind w:left="357"/>
        <w:contextualSpacing w:val="0"/>
        <w:jc w:val="left"/>
      </w:pPr>
      <w:r w:rsidRPr="00495ABC">
        <w:rPr>
          <w:b/>
          <w:bCs/>
          <w:noProof/>
          <w:color w:val="FF0000"/>
        </w:rPr>
        <mc:AlternateContent>
          <mc:Choice Requires="wps">
            <w:drawing>
              <wp:inline distT="0" distB="0" distL="0" distR="0" wp14:anchorId="60B8CCAC" wp14:editId="00F6A3AF">
                <wp:extent cx="709613" cy="6055677"/>
                <wp:effectExtent l="635" t="0" r="20955" b="20955"/>
                <wp:docPr id="73866302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09613" cy="6055677"/>
                        </a:xfrm>
                        <a:prstGeom prst="roundRect">
                          <a:avLst>
                            <a:gd name="adj" fmla="val 13032"/>
                          </a:avLst>
                        </a:prstGeom>
                        <a:solidFill>
                          <a:schemeClr val="accent1">
                            <a:lumMod val="20000"/>
                            <a:lumOff val="80000"/>
                          </a:schemeClr>
                        </a:solidFill>
                      </wps:spPr>
                      <wps:style>
                        <a:lnRef idx="2">
                          <a:schemeClr val="accent1"/>
                        </a:lnRef>
                        <a:fillRef idx="1">
                          <a:schemeClr val="lt1"/>
                        </a:fillRef>
                        <a:effectRef idx="0">
                          <a:schemeClr val="accent1"/>
                        </a:effectRef>
                        <a:fontRef idx="minor">
                          <a:schemeClr val="dk1"/>
                        </a:fontRef>
                      </wps:style>
                      <wps:txbx>
                        <w:txbxContent>
                          <w:p w14:paraId="2A67821B" w14:textId="77777777" w:rsidR="00B93293" w:rsidRDefault="00B93293" w:rsidP="003F224E">
                            <w:pPr>
                              <w:spacing w:before="0" w:after="0"/>
                              <w:ind w:left="567" w:right="142" w:hanging="425"/>
                              <w:rPr>
                                <w:b/>
                                <w:bCs/>
                                <w:lang w:eastAsia="en-AU"/>
                              </w:rPr>
                            </w:pPr>
                            <w:r w:rsidRPr="006D43E1">
                              <w:rPr>
                                <w:b/>
                                <w:bCs/>
                                <w:lang w:eastAsia="en-AU"/>
                              </w:rPr>
                              <w:t>Guidance note:</w:t>
                            </w:r>
                          </w:p>
                          <w:p w14:paraId="5FF7171B" w14:textId="62D48C15" w:rsidR="00B93293" w:rsidRPr="006D43E1" w:rsidRDefault="00F54813" w:rsidP="00BF2E2A">
                            <w:pPr>
                              <w:pStyle w:val="ListParagraph"/>
                              <w:numPr>
                                <w:ilvl w:val="0"/>
                                <w:numId w:val="6"/>
                              </w:numPr>
                              <w:spacing w:before="0" w:after="0"/>
                              <w:ind w:left="709" w:right="142"/>
                              <w:contextualSpacing w:val="0"/>
                              <w:jc w:val="left"/>
                            </w:pPr>
                            <w:r>
                              <w:t xml:space="preserve">This should </w:t>
                            </w:r>
                            <w:r w:rsidR="00CF6F44" w:rsidRPr="006D43E1">
                              <w:t xml:space="preserve">include the name of the dealing exactly as stated on the dealing instrument, e.g. </w:t>
                            </w:r>
                            <w:r w:rsidR="00CF6F44" w:rsidRPr="006D43E1">
                              <w:rPr>
                                <w:i/>
                                <w:iCs/>
                              </w:rPr>
                              <w:t>“Joint Operating Agreement – Exploration Permit WA</w:t>
                            </w:r>
                            <w:r w:rsidR="00CF6F44" w:rsidRPr="006D43E1">
                              <w:rPr>
                                <w:i/>
                                <w:iCs/>
                              </w:rPr>
                              <w:noBreakHyphen/>
                            </w:r>
                            <w:r w:rsidR="00CF6F44">
                              <w:rPr>
                                <w:i/>
                                <w:iCs/>
                              </w:rPr>
                              <w:t>XXX</w:t>
                            </w:r>
                            <w:r w:rsidR="00CF6F44" w:rsidRPr="006D43E1">
                              <w:rPr>
                                <w:i/>
                                <w:iCs/>
                              </w:rPr>
                              <w:noBreakHyphen/>
                              <w:t>P.”</w:t>
                            </w:r>
                          </w:p>
                        </w:txbxContent>
                      </wps:txbx>
                      <wps:bodyPr rot="0" vert="horz" wrap="square" lIns="72000" tIns="36000" rIns="72000" bIns="36000" anchor="ctr" anchorCtr="0" upright="1">
                        <a:spAutoFit/>
                      </wps:bodyPr>
                    </wps:wsp>
                  </a:graphicData>
                </a:graphic>
              </wp:inline>
            </w:drawing>
          </mc:Choice>
          <mc:Fallback>
            <w:pict>
              <v:roundrect w14:anchorId="60B8CCAC" id="AutoShape 2" o:spid="_x0000_s1026" style="width:55.9pt;height:476.8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" fillcolor="#d9e2f3 [660]" strokecolor="#4472c4 [3204]" strokeweight="1pt">
                <v:stroke joinstyle="miter"/>
                <v:textbox style="mso-fit-shape-to-text:t" inset="2mm,1mm,2mm,1mm">
                  <w:txbxContent>
                    <w:p w14:paraId="2A67821B" w14:textId="77777777" w:rsidR="00B93293" w:rsidRDefault="00B93293" w:rsidP="003F224E">
                      <w:pPr>
                        <w:spacing w:before="0" w:after="0"/>
                        <w:ind w:left="567" w:right="142" w:hanging="425"/>
                        <w:rPr>
                          <w:b/>
                          <w:bCs/>
                          <w:lang w:eastAsia="en-AU"/>
                        </w:rPr>
                      </w:pPr>
                      <w:r w:rsidRPr="006D43E1">
                        <w:rPr>
                          <w:b/>
                          <w:bCs/>
                          <w:lang w:eastAsia="en-AU"/>
                        </w:rPr>
                        <w:t>Guidance note:</w:t>
                      </w:r>
                    </w:p>
                    <w:p w14:paraId="5FF7171B" w14:textId="62D48C15" w:rsidR="00B93293" w:rsidRPr="006D43E1" w:rsidRDefault="00F54813" w:rsidP="00BF2E2A">
                      <w:pPr>
                        <w:pStyle w:val="ListParagraph"/>
                        <w:numPr>
                          <w:ilvl w:val="0"/>
                          <w:numId w:val="6"/>
                        </w:numPr>
                        <w:spacing w:before="0" w:after="0"/>
                        <w:ind w:left="709" w:right="142"/>
                        <w:contextualSpacing w:val="0"/>
                        <w:jc w:val="left"/>
                      </w:pPr>
                      <w:r>
                        <w:t xml:space="preserve">This should </w:t>
                      </w:r>
                      <w:r w:rsidR="00CF6F44" w:rsidRPr="006D43E1">
                        <w:t xml:space="preserve">include the name of the dealing exactly as stated on the dealing instrument, e.g. </w:t>
                      </w:r>
                      <w:r w:rsidR="00CF6F44" w:rsidRPr="006D43E1">
                        <w:rPr>
                          <w:i/>
                          <w:iCs/>
                        </w:rPr>
                        <w:t>“Joint Operating Agreement – Exploration Permit WA</w:t>
                      </w:r>
                      <w:r w:rsidR="00CF6F44" w:rsidRPr="006D43E1">
                        <w:rPr>
                          <w:i/>
                          <w:iCs/>
                        </w:rPr>
                        <w:noBreakHyphen/>
                      </w:r>
                      <w:r w:rsidR="00CF6F44">
                        <w:rPr>
                          <w:i/>
                          <w:iCs/>
                        </w:rPr>
                        <w:t>XXX</w:t>
                      </w:r>
                      <w:r w:rsidR="00CF6F44" w:rsidRPr="006D43E1">
                        <w:rPr>
                          <w:i/>
                          <w:iCs/>
                        </w:rPr>
                        <w:noBreakHyphen/>
                        <w:t>P.”</w:t>
                      </w:r>
                    </w:p>
                  </w:txbxContent>
                </v:textbox>
                <w10:anchorlock/>
              </v:roundrect>
            </w:pict>
          </mc:Fallback>
        </mc:AlternateContent>
      </w:r>
    </w:p>
    <w:p w14:paraId="27360728" w14:textId="6ADD2E32" w:rsidR="00526564" w:rsidRDefault="00B93293" w:rsidP="00134874">
      <w:pPr>
        <w:pStyle w:val="ListParagraph"/>
        <w:spacing w:after="120"/>
        <w:ind w:left="357" w:hanging="357"/>
        <w:contextualSpacing w:val="0"/>
        <w:jc w:val="left"/>
      </w:pPr>
      <w:r>
        <w:t>Date of execution</w:t>
      </w:r>
    </w:p>
    <w:p w14:paraId="32E20EB6" w14:textId="76E76C63" w:rsidR="00B93293" w:rsidRDefault="003A78D0" w:rsidP="00134874">
      <w:pPr>
        <w:pStyle w:val="ListParagraph"/>
        <w:numPr>
          <w:ilvl w:val="0"/>
          <w:numId w:val="0"/>
        </w:numPr>
        <w:tabs>
          <w:tab w:val="left" w:pos="9923"/>
        </w:tabs>
        <w:spacing w:before="120"/>
        <w:ind w:left="357"/>
        <w:contextualSpacing w:val="0"/>
        <w:jc w:val="left"/>
      </w:pPr>
      <w:r w:rsidRPr="00495ABC">
        <w:rPr>
          <w:b/>
          <w:bCs/>
          <w:noProof/>
          <w:color w:val="FF0000"/>
        </w:rPr>
        <mc:AlternateContent>
          <mc:Choice Requires="wps">
            <w:drawing>
              <wp:inline distT="0" distB="0" distL="0" distR="0" wp14:anchorId="4F5D4AAE" wp14:editId="7E102A12">
                <wp:extent cx="992505" cy="6065444"/>
                <wp:effectExtent l="7937" t="0" r="23178" b="23177"/>
                <wp:docPr id="191115887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92505" cy="6065444"/>
                        </a:xfrm>
                        <a:prstGeom prst="roundRect">
                          <a:avLst>
                            <a:gd name="adj" fmla="val 13032"/>
                          </a:avLst>
                        </a:prstGeom>
                        <a:solidFill>
                          <a:schemeClr val="accent1">
                            <a:lumMod val="20000"/>
                            <a:lumOff val="80000"/>
                          </a:schemeClr>
                        </a:solidFill>
                      </wps:spPr>
                      <wps:style>
                        <a:lnRef idx="2">
                          <a:schemeClr val="accent1"/>
                        </a:lnRef>
                        <a:fillRef idx="1">
                          <a:schemeClr val="lt1"/>
                        </a:fillRef>
                        <a:effectRef idx="0">
                          <a:schemeClr val="accent1"/>
                        </a:effectRef>
                        <a:fontRef idx="minor">
                          <a:schemeClr val="dk1"/>
                        </a:fontRef>
                      </wps:style>
                      <wps:txbx>
                        <w:txbxContent>
                          <w:p w14:paraId="0BECE5F3" w14:textId="77777777" w:rsidR="003A78D0" w:rsidRPr="006D43E1" w:rsidRDefault="003A78D0" w:rsidP="00F65D82">
                            <w:pPr>
                              <w:spacing w:before="0"/>
                              <w:ind w:left="567" w:hanging="425"/>
                              <w:rPr>
                                <w:b/>
                                <w:bCs/>
                                <w:lang w:eastAsia="en-AU"/>
                              </w:rPr>
                            </w:pPr>
                            <w:r w:rsidRPr="006D43E1">
                              <w:rPr>
                                <w:b/>
                                <w:bCs/>
                                <w:lang w:eastAsia="en-AU"/>
                              </w:rPr>
                              <w:t>Guidance note:</w:t>
                            </w:r>
                          </w:p>
                          <w:p w14:paraId="20EC9AB7" w14:textId="77777777" w:rsidR="003A78D0" w:rsidRPr="006D43E1" w:rsidRDefault="003A78D0" w:rsidP="00134874">
                            <w:pPr>
                              <w:pStyle w:val="ListParagraph"/>
                              <w:numPr>
                                <w:ilvl w:val="0"/>
                                <w:numId w:val="6"/>
                              </w:numPr>
                              <w:spacing w:before="0" w:after="0"/>
                              <w:ind w:left="709"/>
                              <w:jc w:val="left"/>
                            </w:pPr>
                            <w:r>
                              <w:t>T</w:t>
                            </w:r>
                            <w:r w:rsidRPr="006D43E1">
                              <w:t>he date of execution of the instrument is the date described as being the execution date in the instrument or, where this is not specified, the date on which the last signatory to the agreement executed the instrument.</w:t>
                            </w:r>
                          </w:p>
                        </w:txbxContent>
                      </wps:txbx>
                      <wps:bodyPr rot="0" vert="horz" wrap="square" lIns="72000" tIns="36000" rIns="72000" bIns="36000" anchor="ctr" anchorCtr="0" upright="1">
                        <a:spAutoFit/>
                      </wps:bodyPr>
                    </wps:wsp>
                  </a:graphicData>
                </a:graphic>
              </wp:inline>
            </w:drawing>
          </mc:Choice>
          <mc:Fallback>
            <w:pict>
              <v:roundrect w14:anchorId="4F5D4AAE" id="_x0000_s1027" style="width:78.15pt;height:477.6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" fillcolor="#d9e2f3 [660]" strokecolor="#4472c4 [3204]" strokeweight="1pt">
                <v:stroke joinstyle="miter"/>
                <v:textbox style="mso-fit-shape-to-text:t" inset="2mm,1mm,2mm,1mm">
                  <w:txbxContent>
                    <w:p w14:paraId="0BECE5F3" w14:textId="77777777" w:rsidR="003A78D0" w:rsidRPr="006D43E1" w:rsidRDefault="003A78D0" w:rsidP="00F65D82">
                      <w:pPr>
                        <w:spacing w:before="0"/>
                        <w:ind w:left="567" w:hanging="425"/>
                        <w:rPr>
                          <w:b/>
                          <w:bCs/>
                          <w:lang w:eastAsia="en-AU"/>
                        </w:rPr>
                      </w:pPr>
                      <w:r w:rsidRPr="006D43E1">
                        <w:rPr>
                          <w:b/>
                          <w:bCs/>
                          <w:lang w:eastAsia="en-AU"/>
                        </w:rPr>
                        <w:t>Guidance note:</w:t>
                      </w:r>
                    </w:p>
                    <w:p w14:paraId="20EC9AB7" w14:textId="77777777" w:rsidR="003A78D0" w:rsidRPr="006D43E1" w:rsidRDefault="003A78D0" w:rsidP="00134874">
                      <w:pPr>
                        <w:pStyle w:val="ListParagraph"/>
                        <w:numPr>
                          <w:ilvl w:val="0"/>
                          <w:numId w:val="6"/>
                        </w:numPr>
                        <w:spacing w:before="0" w:after="0"/>
                        <w:ind w:left="709"/>
                        <w:jc w:val="left"/>
                      </w:pPr>
                      <w:r>
                        <w:t>T</w:t>
                      </w:r>
                      <w:r w:rsidRPr="006D43E1">
                        <w:t>he date of execution of the instrument is the date described as being the execution date in the instrument or, where this is not specified, the date on which the last signatory to the agreement executed the instrument.</w:t>
                      </w:r>
                    </w:p>
                  </w:txbxContent>
                </v:textbox>
                <w10:anchorlock/>
              </v:roundrect>
            </w:pict>
          </mc:Fallback>
        </mc:AlternateContent>
      </w:r>
    </w:p>
    <w:p w14:paraId="405A8379" w14:textId="070EB264" w:rsidR="00E52921" w:rsidRDefault="00E52921" w:rsidP="00134874">
      <w:pPr>
        <w:pStyle w:val="ListParagraph"/>
        <w:spacing w:after="120"/>
        <w:ind w:left="357" w:hanging="357"/>
        <w:contextualSpacing w:val="0"/>
        <w:jc w:val="left"/>
      </w:pPr>
      <w:bookmarkStart w:id="2" w:name="_Toc204764855"/>
      <w:bookmarkStart w:id="3" w:name="_Toc204769566"/>
      <w:r w:rsidRPr="00E52921">
        <w:t>Title</w:t>
      </w:r>
      <w:bookmarkEnd w:id="2"/>
      <w:bookmarkEnd w:id="3"/>
      <w:r w:rsidRPr="00E52921">
        <w:t xml:space="preserve"> number</w:t>
      </w:r>
    </w:p>
    <w:p w14:paraId="04658D82" w14:textId="6F7C669C" w:rsidR="00526564" w:rsidRDefault="009A7E24" w:rsidP="00134874">
      <w:pPr>
        <w:pStyle w:val="ListParagraph"/>
        <w:numPr>
          <w:ilvl w:val="0"/>
          <w:numId w:val="0"/>
        </w:numPr>
        <w:tabs>
          <w:tab w:val="left" w:pos="9923"/>
        </w:tabs>
        <w:spacing w:before="120"/>
        <w:ind w:left="357"/>
        <w:contextualSpacing w:val="0"/>
        <w:jc w:val="left"/>
      </w:pPr>
      <w:r w:rsidRPr="00495ABC">
        <w:rPr>
          <w:b/>
          <w:bCs/>
          <w:noProof/>
          <w:color w:val="FF0000"/>
        </w:rPr>
        <mc:AlternateContent>
          <mc:Choice Requires="wps">
            <w:drawing>
              <wp:inline distT="0" distB="0" distL="0" distR="0" wp14:anchorId="1279612A" wp14:editId="3EDADD22">
                <wp:extent cx="621982" cy="6052387"/>
                <wp:effectExtent l="0" t="2223" r="26988" b="26987"/>
                <wp:docPr id="102922167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21982" cy="6052387"/>
                        </a:xfrm>
                        <a:prstGeom prst="roundRect">
                          <a:avLst>
                            <a:gd name="adj" fmla="val 13032"/>
                          </a:avLst>
                        </a:prstGeom>
                        <a:solidFill>
                          <a:schemeClr val="accent1">
                            <a:lumMod val="20000"/>
                            <a:lumOff val="80000"/>
                          </a:schemeClr>
                        </a:solidFill>
                      </wps:spPr>
                      <wps:style>
                        <a:lnRef idx="2">
                          <a:schemeClr val="accent1"/>
                        </a:lnRef>
                        <a:fillRef idx="1">
                          <a:schemeClr val="lt1"/>
                        </a:fillRef>
                        <a:effectRef idx="0">
                          <a:schemeClr val="accent1"/>
                        </a:effectRef>
                        <a:fontRef idx="minor">
                          <a:schemeClr val="dk1"/>
                        </a:fontRef>
                      </wps:style>
                      <wps:txbx>
                        <w:txbxContent>
                          <w:p w14:paraId="60FCA11B" w14:textId="77777777" w:rsidR="009A7E24" w:rsidRPr="006D43E1" w:rsidRDefault="009A7E24" w:rsidP="00F65D82">
                            <w:pPr>
                              <w:spacing w:before="0"/>
                              <w:ind w:left="567" w:hanging="425"/>
                              <w:rPr>
                                <w:b/>
                                <w:bCs/>
                                <w:lang w:eastAsia="en-AU"/>
                              </w:rPr>
                            </w:pPr>
                            <w:r w:rsidRPr="006D43E1">
                              <w:rPr>
                                <w:b/>
                                <w:bCs/>
                                <w:lang w:eastAsia="en-AU"/>
                              </w:rPr>
                              <w:t>Guidance note:</w:t>
                            </w:r>
                          </w:p>
                          <w:p w14:paraId="3A5EAD66" w14:textId="293BF803" w:rsidR="009A7E24" w:rsidRPr="006D43E1" w:rsidRDefault="009A7E24" w:rsidP="00134874">
                            <w:pPr>
                              <w:pStyle w:val="ListParagraph"/>
                              <w:numPr>
                                <w:ilvl w:val="0"/>
                                <w:numId w:val="6"/>
                              </w:numPr>
                              <w:spacing w:before="0" w:after="0"/>
                              <w:ind w:left="709"/>
                              <w:jc w:val="left"/>
                            </w:pPr>
                            <w:r>
                              <w:t>T</w:t>
                            </w:r>
                            <w:r w:rsidRPr="006D43E1">
                              <w:t xml:space="preserve">his must specify a single title </w:t>
                            </w:r>
                            <w:r w:rsidR="00796971">
                              <w:t xml:space="preserve">number </w:t>
                            </w:r>
                            <w:r w:rsidRPr="006D43E1">
                              <w:t>only (not a list of titles).</w:t>
                            </w:r>
                          </w:p>
                        </w:txbxContent>
                      </wps:txbx>
                      <wps:bodyPr rot="0" vert="horz" wrap="square" lIns="72000" tIns="36000" rIns="72000" bIns="36000" anchor="ctr" anchorCtr="0" upright="1">
                        <a:spAutoFit/>
                      </wps:bodyPr>
                    </wps:wsp>
                  </a:graphicData>
                </a:graphic>
              </wp:inline>
            </w:drawing>
          </mc:Choice>
          <mc:Fallback>
            <w:pict>
              <v:roundrect w14:anchorId="1279612A" id="_x0000_s1028" style="width:48.95pt;height:476.5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" fillcolor="#d9e2f3 [660]" strokecolor="#4472c4 [3204]" strokeweight="1pt">
                <v:stroke joinstyle="miter"/>
                <v:textbox style="mso-fit-shape-to-text:t" inset="2mm,1mm,2mm,1mm">
                  <w:txbxContent>
                    <w:p w14:paraId="60FCA11B" w14:textId="77777777" w:rsidR="009A7E24" w:rsidRPr="006D43E1" w:rsidRDefault="009A7E24" w:rsidP="00F65D82">
                      <w:pPr>
                        <w:spacing w:before="0"/>
                        <w:ind w:left="567" w:hanging="425"/>
                        <w:rPr>
                          <w:b/>
                          <w:bCs/>
                          <w:lang w:eastAsia="en-AU"/>
                        </w:rPr>
                      </w:pPr>
                      <w:r w:rsidRPr="006D43E1">
                        <w:rPr>
                          <w:b/>
                          <w:bCs/>
                          <w:lang w:eastAsia="en-AU"/>
                        </w:rPr>
                        <w:t>Guidance note:</w:t>
                      </w:r>
                    </w:p>
                    <w:p w14:paraId="3A5EAD66" w14:textId="293BF803" w:rsidR="009A7E24" w:rsidRPr="006D43E1" w:rsidRDefault="009A7E24" w:rsidP="00134874">
                      <w:pPr>
                        <w:pStyle w:val="ListParagraph"/>
                        <w:numPr>
                          <w:ilvl w:val="0"/>
                          <w:numId w:val="6"/>
                        </w:numPr>
                        <w:spacing w:before="0" w:after="0"/>
                        <w:ind w:left="709"/>
                        <w:jc w:val="left"/>
                      </w:pPr>
                      <w:r>
                        <w:t>T</w:t>
                      </w:r>
                      <w:r w:rsidRPr="006D43E1">
                        <w:t xml:space="preserve">his must specify a single title </w:t>
                      </w:r>
                      <w:r w:rsidR="00796971">
                        <w:t xml:space="preserve">number </w:t>
                      </w:r>
                      <w:r w:rsidRPr="006D43E1">
                        <w:t>only (not a list of titles).</w:t>
                      </w:r>
                    </w:p>
                  </w:txbxContent>
                </v:textbox>
                <w10:anchorlock/>
              </v:roundrect>
            </w:pict>
          </mc:Fallback>
        </mc:AlternateContent>
      </w:r>
    </w:p>
    <w:p w14:paraId="1B4DABAD" w14:textId="101C8208" w:rsidR="001B58D2" w:rsidRDefault="00D44E27" w:rsidP="00134874">
      <w:pPr>
        <w:pStyle w:val="ListParagraph"/>
        <w:spacing w:after="120"/>
        <w:ind w:left="357" w:hanging="357"/>
        <w:contextualSpacing w:val="0"/>
        <w:jc w:val="left"/>
      </w:pPr>
      <w:r w:rsidRPr="00E52921">
        <w:t xml:space="preserve">Title type </w:t>
      </w:r>
    </w:p>
    <w:p w14:paraId="0DBFC77E" w14:textId="77777777" w:rsidR="001B58D2" w:rsidRDefault="001B58D2" w:rsidP="00134874">
      <w:pPr>
        <w:pStyle w:val="ListParagraph"/>
        <w:numPr>
          <w:ilvl w:val="0"/>
          <w:numId w:val="0"/>
        </w:numPr>
        <w:tabs>
          <w:tab w:val="left" w:pos="9923"/>
        </w:tabs>
        <w:spacing w:before="120"/>
        <w:ind w:left="357"/>
        <w:contextualSpacing w:val="0"/>
        <w:jc w:val="left"/>
      </w:pPr>
      <w:r w:rsidRPr="00495ABC">
        <w:rPr>
          <w:b/>
          <w:bCs/>
          <w:noProof/>
          <w:color w:val="FF0000"/>
        </w:rPr>
        <mc:AlternateContent>
          <mc:Choice Requires="wps">
            <w:drawing>
              <wp:inline distT="0" distB="0" distL="0" distR="0" wp14:anchorId="038A2221" wp14:editId="0C90E392">
                <wp:extent cx="638812" cy="6052387"/>
                <wp:effectExtent l="0" t="1588" r="26353" b="26352"/>
                <wp:docPr id="74585846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38812" cy="6052387"/>
                        </a:xfrm>
                        <a:prstGeom prst="roundRect">
                          <a:avLst>
                            <a:gd name="adj" fmla="val 13032"/>
                          </a:avLst>
                        </a:prstGeom>
                        <a:solidFill>
                          <a:schemeClr val="accent1">
                            <a:lumMod val="20000"/>
                            <a:lumOff val="80000"/>
                          </a:schemeClr>
                        </a:solidFill>
                      </wps:spPr>
                      <wps:style>
                        <a:lnRef idx="2">
                          <a:schemeClr val="accent1"/>
                        </a:lnRef>
                        <a:fillRef idx="1">
                          <a:schemeClr val="lt1"/>
                        </a:fillRef>
                        <a:effectRef idx="0">
                          <a:schemeClr val="accent1"/>
                        </a:effectRef>
                        <a:fontRef idx="minor">
                          <a:schemeClr val="dk1"/>
                        </a:fontRef>
                      </wps:style>
                      <wps:txbx>
                        <w:txbxContent>
                          <w:p w14:paraId="081134DC" w14:textId="77777777" w:rsidR="00217A40" w:rsidRPr="006D43E1" w:rsidRDefault="00217A40" w:rsidP="00134874">
                            <w:pPr>
                              <w:spacing w:before="0"/>
                              <w:ind w:left="567" w:hanging="425"/>
                              <w:rPr>
                                <w:b/>
                                <w:bCs/>
                                <w:lang w:eastAsia="en-AU"/>
                              </w:rPr>
                            </w:pPr>
                            <w:r w:rsidRPr="006D43E1">
                              <w:rPr>
                                <w:b/>
                                <w:bCs/>
                                <w:lang w:eastAsia="en-AU"/>
                              </w:rPr>
                              <w:t>Guidance note:</w:t>
                            </w:r>
                          </w:p>
                          <w:p w14:paraId="5A05805A" w14:textId="5534B286" w:rsidR="001B58D2" w:rsidRPr="006D43E1" w:rsidRDefault="00217A40" w:rsidP="00134874">
                            <w:pPr>
                              <w:pStyle w:val="bullet"/>
                            </w:pPr>
                            <w:r>
                              <w:t>T</w:t>
                            </w:r>
                            <w:r w:rsidRPr="006D43E1">
                              <w:t xml:space="preserve">his must specify a single title </w:t>
                            </w:r>
                            <w:r w:rsidR="007539B7">
                              <w:t>type</w:t>
                            </w:r>
                            <w:r>
                              <w:t xml:space="preserve"> </w:t>
                            </w:r>
                            <w:r w:rsidRPr="006D43E1">
                              <w:t>only</w:t>
                            </w:r>
                            <w:r w:rsidR="006C26D4" w:rsidRPr="00B4380E">
                              <w:t xml:space="preserve"> </w:t>
                            </w:r>
                            <w:r w:rsidR="006C26D4" w:rsidRPr="006C26D4">
                              <w:t>e.g. Petroleum Exploration Permit</w:t>
                            </w:r>
                            <w:r w:rsidR="001B58D2" w:rsidRPr="006D43E1">
                              <w:t>.</w:t>
                            </w:r>
                          </w:p>
                        </w:txbxContent>
                      </wps:txbx>
                      <wps:bodyPr rot="0" vert="horz" wrap="square" lIns="72000" tIns="36000" rIns="72000" bIns="36000" anchor="ctr" anchorCtr="0" upright="1">
                        <a:noAutofit/>
                      </wps:bodyPr>
                    </wps:wsp>
                  </a:graphicData>
                </a:graphic>
              </wp:inline>
            </w:drawing>
          </mc:Choice>
          <mc:Fallback>
            <w:pict>
              <v:roundrect w14:anchorId="038A2221" id="_x0000_s1029" style="width:50.3pt;height:476.5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" fillcolor="#d9e2f3 [660]" strokecolor="#4472c4 [3204]" strokeweight="1pt">
                <v:stroke joinstyle="miter"/>
                <v:textbox inset="2mm,1mm,2mm,1mm">
                  <w:txbxContent>
                    <w:p w14:paraId="081134DC" w14:textId="77777777" w:rsidR="00217A40" w:rsidRPr="006D43E1" w:rsidRDefault="00217A40" w:rsidP="00134874">
                      <w:pPr>
                        <w:spacing w:before="0"/>
                        <w:ind w:left="567" w:hanging="425"/>
                        <w:rPr>
                          <w:b/>
                          <w:bCs/>
                          <w:lang w:eastAsia="en-AU"/>
                        </w:rPr>
                      </w:pPr>
                      <w:r w:rsidRPr="006D43E1">
                        <w:rPr>
                          <w:b/>
                          <w:bCs/>
                          <w:lang w:eastAsia="en-AU"/>
                        </w:rPr>
                        <w:t>Guidance note:</w:t>
                      </w:r>
                    </w:p>
                    <w:p w14:paraId="5A05805A" w14:textId="5534B286" w:rsidR="001B58D2" w:rsidRPr="006D43E1" w:rsidRDefault="00217A40" w:rsidP="00134874">
                      <w:pPr>
                        <w:pStyle w:val="bullet"/>
                      </w:pPr>
                      <w:r>
                        <w:t>T</w:t>
                      </w:r>
                      <w:r w:rsidRPr="006D43E1">
                        <w:t xml:space="preserve">his must specify a single title </w:t>
                      </w:r>
                      <w:r w:rsidR="007539B7">
                        <w:t>type</w:t>
                      </w:r>
                      <w:r>
                        <w:t xml:space="preserve"> </w:t>
                      </w:r>
                      <w:r w:rsidRPr="006D43E1">
                        <w:t>only</w:t>
                      </w:r>
                      <w:r w:rsidR="006C26D4" w:rsidRPr="00B4380E">
                        <w:t xml:space="preserve"> </w:t>
                      </w:r>
                      <w:r w:rsidR="006C26D4" w:rsidRPr="006C26D4">
                        <w:t>e.g. Petroleum Exploration Permit</w:t>
                      </w:r>
                      <w:r w:rsidR="001B58D2" w:rsidRPr="006D43E1">
                        <w:t>.</w:t>
                      </w:r>
                    </w:p>
                  </w:txbxContent>
                </v:textbox>
                <w10:anchorlock/>
              </v:roundrect>
            </w:pict>
          </mc:Fallback>
        </mc:AlternateContent>
      </w:r>
    </w:p>
    <w:p w14:paraId="499FBB87" w14:textId="77777777" w:rsidR="00103ABD" w:rsidRDefault="00E52921" w:rsidP="00134874">
      <w:pPr>
        <w:pStyle w:val="ListParagraph"/>
        <w:spacing w:after="120"/>
        <w:ind w:left="357" w:hanging="357"/>
        <w:contextualSpacing w:val="0"/>
        <w:jc w:val="left"/>
      </w:pPr>
      <w:r w:rsidRPr="00E52921">
        <w:t>Parties to the dealing</w:t>
      </w:r>
    </w:p>
    <w:p w14:paraId="7D1B8DD5" w14:textId="58D39FA1" w:rsidR="00E52921" w:rsidRDefault="00103ABD" w:rsidP="00134874">
      <w:pPr>
        <w:pStyle w:val="ListParagraph"/>
        <w:numPr>
          <w:ilvl w:val="0"/>
          <w:numId w:val="0"/>
        </w:numPr>
        <w:tabs>
          <w:tab w:val="left" w:pos="9923"/>
        </w:tabs>
        <w:spacing w:before="120" w:after="0"/>
        <w:ind w:left="357"/>
        <w:contextualSpacing w:val="0"/>
        <w:jc w:val="left"/>
      </w:pPr>
      <w:r w:rsidRPr="00495ABC">
        <w:rPr>
          <w:b/>
          <w:bCs/>
          <w:noProof/>
          <w:color w:val="FF0000"/>
        </w:rPr>
        <mc:AlternateContent>
          <mc:Choice Requires="wps">
            <w:drawing>
              <wp:inline distT="0" distB="0" distL="0" distR="0" wp14:anchorId="7DEBDAE1" wp14:editId="77BF58CF">
                <wp:extent cx="1883412" cy="6062663"/>
                <wp:effectExtent l="4127" t="0" r="10478" b="10477"/>
                <wp:docPr id="111645605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883412" cy="6062663"/>
                        </a:xfrm>
                        <a:prstGeom prst="roundRect">
                          <a:avLst>
                            <a:gd name="adj" fmla="val 13032"/>
                          </a:avLst>
                        </a:prstGeom>
                        <a:solidFill>
                          <a:schemeClr val="accent1">
                            <a:lumMod val="20000"/>
                            <a:lumOff val="80000"/>
                          </a:schemeClr>
                        </a:solidFill>
                      </wps:spPr>
                      <wps:style>
                        <a:lnRef idx="2">
                          <a:schemeClr val="accent1"/>
                        </a:lnRef>
                        <a:fillRef idx="1">
                          <a:schemeClr val="lt1"/>
                        </a:fillRef>
                        <a:effectRef idx="0">
                          <a:schemeClr val="accent1"/>
                        </a:effectRef>
                        <a:fontRef idx="minor">
                          <a:schemeClr val="dk1"/>
                        </a:fontRef>
                      </wps:style>
                      <wps:txbx>
                        <w:txbxContent>
                          <w:p w14:paraId="368A4426" w14:textId="77777777" w:rsidR="00103ABD" w:rsidRPr="006D43E1" w:rsidRDefault="00103ABD" w:rsidP="00F65D82">
                            <w:pPr>
                              <w:spacing w:before="0"/>
                              <w:ind w:left="567" w:hanging="425"/>
                              <w:rPr>
                                <w:b/>
                                <w:bCs/>
                                <w:lang w:eastAsia="en-AU"/>
                              </w:rPr>
                            </w:pPr>
                            <w:r w:rsidRPr="006D43E1">
                              <w:rPr>
                                <w:b/>
                                <w:bCs/>
                                <w:lang w:eastAsia="en-AU"/>
                              </w:rPr>
                              <w:t>Guidance note:</w:t>
                            </w:r>
                          </w:p>
                          <w:p w14:paraId="71652E8F" w14:textId="77777777" w:rsidR="00103ABD" w:rsidRDefault="00103ABD" w:rsidP="00F65D82">
                            <w:pPr>
                              <w:pStyle w:val="ListParagraph"/>
                              <w:numPr>
                                <w:ilvl w:val="0"/>
                                <w:numId w:val="6"/>
                              </w:numPr>
                              <w:spacing w:before="120" w:after="120"/>
                              <w:ind w:left="709" w:hanging="357"/>
                              <w:jc w:val="left"/>
                            </w:pPr>
                            <w:r>
                              <w:t>Each party to the dealing must be listed.</w:t>
                            </w:r>
                          </w:p>
                          <w:p w14:paraId="51B80C19" w14:textId="74AAFE31" w:rsidR="00103ABD" w:rsidRDefault="000E3F6C" w:rsidP="00F65D82">
                            <w:pPr>
                              <w:pStyle w:val="ListParagraph"/>
                              <w:numPr>
                                <w:ilvl w:val="0"/>
                                <w:numId w:val="6"/>
                              </w:numPr>
                              <w:spacing w:before="120" w:after="120"/>
                              <w:ind w:left="709" w:hanging="357"/>
                              <w:jc w:val="left"/>
                            </w:pPr>
                            <w:r>
                              <w:t xml:space="preserve">The list should contain </w:t>
                            </w:r>
                            <w:r w:rsidR="00F54813">
                              <w:t>t</w:t>
                            </w:r>
                            <w:r w:rsidR="00F54813" w:rsidRPr="006D43E1">
                              <w:t xml:space="preserve">he </w:t>
                            </w:r>
                            <w:r w:rsidR="00103ABD" w:rsidRPr="006D43E1">
                              <w:t>full company name</w:t>
                            </w:r>
                            <w:r w:rsidR="00103ABD">
                              <w:t>,</w:t>
                            </w:r>
                            <w:r w:rsidR="00103ABD" w:rsidRPr="006D43E1">
                              <w:t xml:space="preserve"> </w:t>
                            </w:r>
                            <w:r w:rsidR="00103ABD" w:rsidRPr="00447090">
                              <w:t>ACN, ARBN or foreign equivalent</w:t>
                            </w:r>
                            <w:r w:rsidR="00573E77">
                              <w:t>,</w:t>
                            </w:r>
                            <w:r w:rsidR="00573E77" w:rsidRPr="00447090">
                              <w:t xml:space="preserve"> </w:t>
                            </w:r>
                            <w:r w:rsidR="00103ABD" w:rsidRPr="00447090">
                              <w:t>and business address of each party to the dealing as specified on the of the instrument</w:t>
                            </w:r>
                            <w:r w:rsidR="00103ABD">
                              <w:t>.</w:t>
                            </w:r>
                          </w:p>
                          <w:p w14:paraId="1CB50781" w14:textId="77777777" w:rsidR="00103ABD" w:rsidRDefault="00103ABD" w:rsidP="00F65D82">
                            <w:pPr>
                              <w:pStyle w:val="ListParagraph"/>
                              <w:numPr>
                                <w:ilvl w:val="0"/>
                                <w:numId w:val="6"/>
                              </w:numPr>
                              <w:spacing w:before="120" w:after="120"/>
                              <w:ind w:left="709" w:hanging="357"/>
                              <w:jc w:val="left"/>
                            </w:pPr>
                            <w:r w:rsidRPr="006D43E1">
                              <w:t>Where the company name has changed since the dealing was entered into, this should be specified, e.g. “</w:t>
                            </w:r>
                            <w:r w:rsidRPr="006D43E1">
                              <w:rPr>
                                <w:i/>
                                <w:iCs/>
                              </w:rPr>
                              <w:t>ABC Pty Ltd (previously XYZ Pty Ltd) (A</w:t>
                            </w:r>
                            <w:r>
                              <w:rPr>
                                <w:i/>
                                <w:iCs/>
                              </w:rPr>
                              <w:t>C</w:t>
                            </w:r>
                            <w:r w:rsidRPr="006D43E1">
                              <w:rPr>
                                <w:i/>
                                <w:iCs/>
                              </w:rPr>
                              <w:t>N 234 567 890)</w:t>
                            </w:r>
                            <w:r w:rsidRPr="006D43E1">
                              <w:t>”</w:t>
                            </w:r>
                            <w:r>
                              <w:t>.</w:t>
                            </w:r>
                          </w:p>
                          <w:p w14:paraId="67EDB355" w14:textId="5EE6A38C" w:rsidR="00103ABD" w:rsidRPr="006D43E1" w:rsidRDefault="00103ABD" w:rsidP="00134874">
                            <w:pPr>
                              <w:pStyle w:val="ListParagraph"/>
                              <w:numPr>
                                <w:ilvl w:val="0"/>
                                <w:numId w:val="6"/>
                              </w:numPr>
                              <w:spacing w:before="120" w:after="0"/>
                              <w:ind w:left="709"/>
                              <w:contextualSpacing w:val="0"/>
                              <w:jc w:val="left"/>
                            </w:pPr>
                            <w:r>
                              <w:t>W</w:t>
                            </w:r>
                            <w:r w:rsidRPr="00CF728E">
                              <w:t xml:space="preserve">here the parties to the dealing have been amended by subsequent dealings, also list the full name, ACN, ARBN or foreign </w:t>
                            </w:r>
                            <w:r w:rsidRPr="00CF728E" w:rsidDel="00573E77">
                              <w:t>equivalent</w:t>
                            </w:r>
                            <w:r w:rsidR="00573E77" w:rsidRPr="00CF728E">
                              <w:t>,</w:t>
                            </w:r>
                            <w:r w:rsidRPr="00CF728E">
                              <w:t xml:space="preserve"> and business address of the current parties to the dealing</w:t>
                            </w:r>
                            <w:r>
                              <w:t>.</w:t>
                            </w:r>
                          </w:p>
                        </w:txbxContent>
                      </wps:txbx>
                      <wps:bodyPr rot="0" vert="horz" wrap="square" lIns="72000" tIns="36000" rIns="72000" bIns="36000" anchor="ctr" anchorCtr="0" upright="1">
                        <a:spAutoFit/>
                      </wps:bodyPr>
                    </wps:wsp>
                  </a:graphicData>
                </a:graphic>
              </wp:inline>
            </w:drawing>
          </mc:Choice>
          <mc:Fallback>
            <w:pict>
              <v:roundrect w14:anchorId="7DEBDAE1" id="_x0000_s1030" style="width:148.3pt;height:477.4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" fillcolor="#d9e2f3 [660]" strokecolor="#4472c4 [3204]" strokeweight="1pt">
                <v:stroke joinstyle="miter"/>
                <v:textbox style="mso-fit-shape-to-text:t" inset="2mm,1mm,2mm,1mm">
                  <w:txbxContent>
                    <w:p w14:paraId="368A4426" w14:textId="77777777" w:rsidR="00103ABD" w:rsidRPr="006D43E1" w:rsidRDefault="00103ABD" w:rsidP="00F65D82">
                      <w:pPr>
                        <w:spacing w:before="0"/>
                        <w:ind w:left="567" w:hanging="425"/>
                        <w:rPr>
                          <w:b/>
                          <w:bCs/>
                          <w:lang w:eastAsia="en-AU"/>
                        </w:rPr>
                      </w:pPr>
                      <w:r w:rsidRPr="006D43E1">
                        <w:rPr>
                          <w:b/>
                          <w:bCs/>
                          <w:lang w:eastAsia="en-AU"/>
                        </w:rPr>
                        <w:t>Guidance note:</w:t>
                      </w:r>
                    </w:p>
                    <w:p w14:paraId="71652E8F" w14:textId="77777777" w:rsidR="00103ABD" w:rsidRDefault="00103ABD" w:rsidP="00F65D82">
                      <w:pPr>
                        <w:pStyle w:val="ListParagraph"/>
                        <w:numPr>
                          <w:ilvl w:val="0"/>
                          <w:numId w:val="6"/>
                        </w:numPr>
                        <w:spacing w:before="120" w:after="120"/>
                        <w:ind w:left="709" w:hanging="357"/>
                        <w:jc w:val="left"/>
                      </w:pPr>
                      <w:r>
                        <w:t>Each party to the dealing must be listed.</w:t>
                      </w:r>
                    </w:p>
                    <w:p w14:paraId="51B80C19" w14:textId="74AAFE31" w:rsidR="00103ABD" w:rsidRDefault="000E3F6C" w:rsidP="00F65D82">
                      <w:pPr>
                        <w:pStyle w:val="ListParagraph"/>
                        <w:numPr>
                          <w:ilvl w:val="0"/>
                          <w:numId w:val="6"/>
                        </w:numPr>
                        <w:spacing w:before="120" w:after="120"/>
                        <w:ind w:left="709" w:hanging="357"/>
                        <w:jc w:val="left"/>
                      </w:pPr>
                      <w:r>
                        <w:t xml:space="preserve">The list should contain </w:t>
                      </w:r>
                      <w:r w:rsidR="00F54813">
                        <w:t>t</w:t>
                      </w:r>
                      <w:r w:rsidR="00F54813" w:rsidRPr="006D43E1">
                        <w:t xml:space="preserve">he </w:t>
                      </w:r>
                      <w:r w:rsidR="00103ABD" w:rsidRPr="006D43E1">
                        <w:t>full company name</w:t>
                      </w:r>
                      <w:r w:rsidR="00103ABD">
                        <w:t>,</w:t>
                      </w:r>
                      <w:r w:rsidR="00103ABD" w:rsidRPr="006D43E1">
                        <w:t xml:space="preserve"> </w:t>
                      </w:r>
                      <w:r w:rsidR="00103ABD" w:rsidRPr="00447090">
                        <w:t>ACN, ARBN or foreign equivalent</w:t>
                      </w:r>
                      <w:r w:rsidR="00573E77">
                        <w:t>,</w:t>
                      </w:r>
                      <w:r w:rsidR="00573E77" w:rsidRPr="00447090">
                        <w:t xml:space="preserve"> </w:t>
                      </w:r>
                      <w:r w:rsidR="00103ABD" w:rsidRPr="00447090">
                        <w:t>and business address of each party to the dealing as specified on the of the instrument</w:t>
                      </w:r>
                      <w:r w:rsidR="00103ABD">
                        <w:t>.</w:t>
                      </w:r>
                    </w:p>
                    <w:p w14:paraId="1CB50781" w14:textId="77777777" w:rsidR="00103ABD" w:rsidRDefault="00103ABD" w:rsidP="00F65D82">
                      <w:pPr>
                        <w:pStyle w:val="ListParagraph"/>
                        <w:numPr>
                          <w:ilvl w:val="0"/>
                          <w:numId w:val="6"/>
                        </w:numPr>
                        <w:spacing w:before="120" w:after="120"/>
                        <w:ind w:left="709" w:hanging="357"/>
                        <w:jc w:val="left"/>
                      </w:pPr>
                      <w:r w:rsidRPr="006D43E1">
                        <w:t>Where the company name has changed since the dealing was entered into, this should be specified, e.g. “</w:t>
                      </w:r>
                      <w:r w:rsidRPr="006D43E1">
                        <w:rPr>
                          <w:i/>
                          <w:iCs/>
                        </w:rPr>
                        <w:t>ABC Pty Ltd (previously XYZ Pty Ltd) (A</w:t>
                      </w:r>
                      <w:r>
                        <w:rPr>
                          <w:i/>
                          <w:iCs/>
                        </w:rPr>
                        <w:t>C</w:t>
                      </w:r>
                      <w:r w:rsidRPr="006D43E1">
                        <w:rPr>
                          <w:i/>
                          <w:iCs/>
                        </w:rPr>
                        <w:t>N 234 567 890)</w:t>
                      </w:r>
                      <w:r w:rsidRPr="006D43E1">
                        <w:t>”</w:t>
                      </w:r>
                      <w:r>
                        <w:t>.</w:t>
                      </w:r>
                    </w:p>
                    <w:p w14:paraId="67EDB355" w14:textId="5EE6A38C" w:rsidR="00103ABD" w:rsidRPr="006D43E1" w:rsidRDefault="00103ABD" w:rsidP="00134874">
                      <w:pPr>
                        <w:pStyle w:val="ListParagraph"/>
                        <w:numPr>
                          <w:ilvl w:val="0"/>
                          <w:numId w:val="6"/>
                        </w:numPr>
                        <w:spacing w:before="120" w:after="0"/>
                        <w:ind w:left="709"/>
                        <w:contextualSpacing w:val="0"/>
                        <w:jc w:val="left"/>
                      </w:pPr>
                      <w:r>
                        <w:t>W</w:t>
                      </w:r>
                      <w:r w:rsidRPr="00CF728E">
                        <w:t xml:space="preserve">here the parties to the dealing have been amended by subsequent dealings, also list the full name, ACN, ARBN or foreign </w:t>
                      </w:r>
                      <w:r w:rsidRPr="00CF728E" w:rsidDel="00573E77">
                        <w:t>equivalent</w:t>
                      </w:r>
                      <w:r w:rsidR="00573E77" w:rsidRPr="00CF728E">
                        <w:t>,</w:t>
                      </w:r>
                      <w:r w:rsidRPr="00CF728E">
                        <w:t xml:space="preserve"> and business address of the current parties to the dealing</w:t>
                      </w:r>
                      <w:r>
                        <w:t>.</w:t>
                      </w:r>
                    </w:p>
                  </w:txbxContent>
                </v:textbox>
                <w10:anchorlock/>
              </v:roundrect>
            </w:pict>
          </mc:Fallback>
        </mc:AlternateContent>
      </w:r>
    </w:p>
    <w:p w14:paraId="6386C3E8" w14:textId="2CDED886" w:rsidR="00E52921" w:rsidRDefault="00E52921" w:rsidP="00134874">
      <w:pPr>
        <w:pStyle w:val="ListParagraph"/>
        <w:keepNext/>
        <w:keepLines/>
        <w:spacing w:after="120"/>
        <w:ind w:left="357" w:hanging="357"/>
        <w:contextualSpacing w:val="0"/>
        <w:jc w:val="left"/>
      </w:pPr>
      <w:bookmarkStart w:id="4" w:name="_Toc204764857"/>
      <w:bookmarkStart w:id="5" w:name="_Toc204769568"/>
      <w:r w:rsidRPr="00E52921">
        <w:lastRenderedPageBreak/>
        <w:t>Summary of the dealing</w:t>
      </w:r>
      <w:bookmarkEnd w:id="4"/>
      <w:bookmarkEnd w:id="5"/>
    </w:p>
    <w:p w14:paraId="326020FD" w14:textId="5D561138" w:rsidR="00103ABD" w:rsidRDefault="001A3029" w:rsidP="00134874">
      <w:pPr>
        <w:pStyle w:val="ListParagraph"/>
        <w:keepNext/>
        <w:keepLines/>
        <w:numPr>
          <w:ilvl w:val="0"/>
          <w:numId w:val="0"/>
        </w:numPr>
        <w:spacing w:before="120"/>
        <w:ind w:left="357"/>
        <w:contextualSpacing w:val="0"/>
        <w:jc w:val="left"/>
      </w:pPr>
      <w:r w:rsidRPr="00F65D82">
        <w:rPr>
          <w:noProof/>
        </w:rPr>
        <mc:AlternateContent>
          <mc:Choice Requires="wps">
            <w:drawing>
              <wp:inline distT="0" distB="0" distL="0" distR="0" wp14:anchorId="49DF712D" wp14:editId="0380BCFB">
                <wp:extent cx="1826770" cy="6064938"/>
                <wp:effectExtent l="0" t="6668" r="18733" b="18732"/>
                <wp:docPr id="30487419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826770" cy="6064938"/>
                        </a:xfrm>
                        <a:prstGeom prst="roundRect">
                          <a:avLst>
                            <a:gd name="adj" fmla="val 13032"/>
                          </a:avLst>
                        </a:prstGeom>
                        <a:solidFill>
                          <a:schemeClr val="accent1">
                            <a:lumMod val="20000"/>
                            <a:lumOff val="80000"/>
                          </a:schemeClr>
                        </a:solidFill>
                      </wps:spPr>
                      <wps:style>
                        <a:lnRef idx="2">
                          <a:schemeClr val="accent1"/>
                        </a:lnRef>
                        <a:fillRef idx="1">
                          <a:schemeClr val="lt1"/>
                        </a:fillRef>
                        <a:effectRef idx="0">
                          <a:schemeClr val="accent1"/>
                        </a:effectRef>
                        <a:fontRef idx="minor">
                          <a:schemeClr val="dk1"/>
                        </a:fontRef>
                      </wps:style>
                      <wps:txbx>
                        <w:txbxContent>
                          <w:p w14:paraId="4D6FEA2C" w14:textId="77777777" w:rsidR="001A3029" w:rsidRPr="006D43E1" w:rsidRDefault="001A3029" w:rsidP="00F65D82">
                            <w:pPr>
                              <w:spacing w:before="0"/>
                              <w:ind w:left="567" w:hanging="425"/>
                              <w:rPr>
                                <w:b/>
                                <w:bCs/>
                                <w:lang w:eastAsia="en-AU"/>
                              </w:rPr>
                            </w:pPr>
                            <w:r w:rsidRPr="006D43E1">
                              <w:rPr>
                                <w:b/>
                                <w:bCs/>
                                <w:lang w:eastAsia="en-AU"/>
                              </w:rPr>
                              <w:t xml:space="preserve">Guidance note: </w:t>
                            </w:r>
                          </w:p>
                          <w:p w14:paraId="59A87489" w14:textId="3180932E" w:rsidR="001A3029" w:rsidRPr="006D43E1" w:rsidRDefault="001A3029" w:rsidP="00F65D82">
                            <w:pPr>
                              <w:pStyle w:val="ListParagraph"/>
                              <w:numPr>
                                <w:ilvl w:val="0"/>
                                <w:numId w:val="6"/>
                              </w:numPr>
                              <w:spacing w:before="120" w:after="120"/>
                              <w:ind w:left="709" w:hanging="357"/>
                              <w:jc w:val="left"/>
                            </w:pPr>
                            <w:r>
                              <w:t>Schedules 2 and 4 of the Notifiable Instrument set out the minimum requirements for inclusion on a supplementary instrument. As t</w:t>
                            </w:r>
                            <w:r w:rsidRPr="006D43E1">
                              <w:t>he supplementary instrument takes the place of the full dealing instrument on the public Titles Register</w:t>
                            </w:r>
                            <w:r>
                              <w:t xml:space="preserve">, </w:t>
                            </w:r>
                            <w:r w:rsidRPr="006D43E1">
                              <w:t>the TA considers that it is insufficient to merely refer to relevant item</w:t>
                            </w:r>
                            <w:r>
                              <w:t>(s)</w:t>
                            </w:r>
                            <w:r w:rsidRPr="006D43E1">
                              <w:t>/effect</w:t>
                            </w:r>
                            <w:r>
                              <w:t>(s)</w:t>
                            </w:r>
                            <w:r w:rsidRPr="006D43E1">
                              <w:t xml:space="preserve"> in s</w:t>
                            </w:r>
                            <w:r>
                              <w:t>ection</w:t>
                            </w:r>
                            <w:r w:rsidRPr="006D43E1">
                              <w:t xml:space="preserve"> 486 </w:t>
                            </w:r>
                            <w:r>
                              <w:t xml:space="preserve">or 537 </w:t>
                            </w:r>
                            <w:r w:rsidRPr="006D43E1">
                              <w:t xml:space="preserve">of the </w:t>
                            </w:r>
                            <w:r w:rsidR="00106E42">
                              <w:t xml:space="preserve">OPGGS </w:t>
                            </w:r>
                            <w:r w:rsidRPr="006D43E1">
                              <w:t>Act.</w:t>
                            </w:r>
                          </w:p>
                          <w:p w14:paraId="2E8B8922" w14:textId="77777777" w:rsidR="001A3029" w:rsidRPr="006D43E1" w:rsidRDefault="001A3029" w:rsidP="00AC6350">
                            <w:pPr>
                              <w:pStyle w:val="ListParagraph"/>
                              <w:numPr>
                                <w:ilvl w:val="0"/>
                                <w:numId w:val="6"/>
                              </w:numPr>
                              <w:spacing w:before="120" w:after="0"/>
                              <w:ind w:left="709" w:hanging="357"/>
                              <w:contextualSpacing w:val="0"/>
                              <w:jc w:val="left"/>
                            </w:pPr>
                            <w:r>
                              <w:t>T</w:t>
                            </w:r>
                            <w:r w:rsidRPr="006D43E1">
                              <w:t xml:space="preserve">he supplementary instrument </w:t>
                            </w:r>
                            <w:r>
                              <w:t xml:space="preserve">should </w:t>
                            </w:r>
                            <w:r w:rsidRPr="006D43E1">
                              <w:t>contain sufficient detail (in plain English) to enable a person examining the Titles Register to determine what the dealing is about.</w:t>
                            </w:r>
                            <w:r>
                              <w:t xml:space="preserve"> For example - t</w:t>
                            </w:r>
                            <w:r w:rsidRPr="006D43E1">
                              <w:t>he ‘Recitals’, ‘Whereas’ or similar clauses in the dealing instrument often provide a useful level of summary information that may be suitable for this purpose.</w:t>
                            </w:r>
                          </w:p>
                        </w:txbxContent>
                      </wps:txbx>
                      <wps:bodyPr rot="0" vert="horz" wrap="square" lIns="72000" tIns="36000" rIns="72000" bIns="36000" anchor="ctr" anchorCtr="0" upright="1">
                        <a:spAutoFit/>
                      </wps:bodyPr>
                    </wps:wsp>
                  </a:graphicData>
                </a:graphic>
              </wp:inline>
            </w:drawing>
          </mc:Choice>
          <mc:Fallback>
            <w:pict>
              <v:roundrect w14:anchorId="49DF712D" id="_x0000_s1031" style="width:143.85pt;height:477.5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" fillcolor="#d9e2f3 [660]" strokecolor="#4472c4 [3204]" strokeweight="1pt">
                <v:stroke joinstyle="miter"/>
                <v:textbox style="mso-fit-shape-to-text:t" inset="2mm,1mm,2mm,1mm">
                  <w:txbxContent>
                    <w:p w14:paraId="4D6FEA2C" w14:textId="77777777" w:rsidR="001A3029" w:rsidRPr="006D43E1" w:rsidRDefault="001A3029" w:rsidP="00F65D82">
                      <w:pPr>
                        <w:spacing w:before="0"/>
                        <w:ind w:left="567" w:hanging="425"/>
                        <w:rPr>
                          <w:b/>
                          <w:bCs/>
                          <w:lang w:eastAsia="en-AU"/>
                        </w:rPr>
                      </w:pPr>
                      <w:r w:rsidRPr="006D43E1">
                        <w:rPr>
                          <w:b/>
                          <w:bCs/>
                          <w:lang w:eastAsia="en-AU"/>
                        </w:rPr>
                        <w:t xml:space="preserve">Guidance note: </w:t>
                      </w:r>
                    </w:p>
                    <w:p w14:paraId="59A87489" w14:textId="3180932E" w:rsidR="001A3029" w:rsidRPr="006D43E1" w:rsidRDefault="001A3029" w:rsidP="00F65D82">
                      <w:pPr>
                        <w:pStyle w:val="ListParagraph"/>
                        <w:numPr>
                          <w:ilvl w:val="0"/>
                          <w:numId w:val="6"/>
                        </w:numPr>
                        <w:spacing w:before="120" w:after="120"/>
                        <w:ind w:left="709" w:hanging="357"/>
                        <w:jc w:val="left"/>
                      </w:pPr>
                      <w:r>
                        <w:t>Schedules 2 and 4 of the Notifiable Instrument set out the minimum requirements for inclusion on a supplementary instrument. As t</w:t>
                      </w:r>
                      <w:r w:rsidRPr="006D43E1">
                        <w:t>he supplementary instrument takes the place of the full dealing instrument on the public Titles Register</w:t>
                      </w:r>
                      <w:r>
                        <w:t xml:space="preserve">, </w:t>
                      </w:r>
                      <w:r w:rsidRPr="006D43E1">
                        <w:t>the TA considers that it is insufficient to merely refer to relevant item</w:t>
                      </w:r>
                      <w:r>
                        <w:t>(s)</w:t>
                      </w:r>
                      <w:r w:rsidRPr="006D43E1">
                        <w:t>/effect</w:t>
                      </w:r>
                      <w:r>
                        <w:t>(s)</w:t>
                      </w:r>
                      <w:r w:rsidRPr="006D43E1">
                        <w:t xml:space="preserve"> in s</w:t>
                      </w:r>
                      <w:r>
                        <w:t>ection</w:t>
                      </w:r>
                      <w:r w:rsidRPr="006D43E1">
                        <w:t xml:space="preserve"> 486 </w:t>
                      </w:r>
                      <w:r>
                        <w:t xml:space="preserve">or 537 </w:t>
                      </w:r>
                      <w:r w:rsidRPr="006D43E1">
                        <w:t xml:space="preserve">of the </w:t>
                      </w:r>
                      <w:r w:rsidR="00106E42">
                        <w:t xml:space="preserve">OPGGS </w:t>
                      </w:r>
                      <w:r w:rsidRPr="006D43E1">
                        <w:t>Act.</w:t>
                      </w:r>
                    </w:p>
                    <w:p w14:paraId="2E8B8922" w14:textId="77777777" w:rsidR="001A3029" w:rsidRPr="006D43E1" w:rsidRDefault="001A3029" w:rsidP="00AC6350">
                      <w:pPr>
                        <w:pStyle w:val="ListParagraph"/>
                        <w:numPr>
                          <w:ilvl w:val="0"/>
                          <w:numId w:val="6"/>
                        </w:numPr>
                        <w:spacing w:before="120" w:after="0"/>
                        <w:ind w:left="709" w:hanging="357"/>
                        <w:contextualSpacing w:val="0"/>
                        <w:jc w:val="left"/>
                      </w:pPr>
                      <w:r>
                        <w:t>T</w:t>
                      </w:r>
                      <w:r w:rsidRPr="006D43E1">
                        <w:t xml:space="preserve">he supplementary instrument </w:t>
                      </w:r>
                      <w:r>
                        <w:t xml:space="preserve">should </w:t>
                      </w:r>
                      <w:r w:rsidRPr="006D43E1">
                        <w:t>contain sufficient detail (in plain English) to enable a person examining the Titles Register to determine what the dealing is about.</w:t>
                      </w:r>
                      <w:r>
                        <w:t xml:space="preserve"> For example - t</w:t>
                      </w:r>
                      <w:r w:rsidRPr="006D43E1">
                        <w:t>he ‘Recitals’, ‘Whereas’ or similar clauses in the dealing instrument often provide a useful level of summary information that may be suitable for this purpose.</w:t>
                      </w:r>
                    </w:p>
                  </w:txbxContent>
                </v:textbox>
                <w10:anchorlock/>
              </v:roundrect>
            </w:pict>
          </mc:Fallback>
        </mc:AlternateContent>
      </w:r>
    </w:p>
    <w:p w14:paraId="4297E96C" w14:textId="12872FAD" w:rsidR="00E52921" w:rsidRDefault="004E5CF0" w:rsidP="00134874">
      <w:pPr>
        <w:pStyle w:val="ListParagraph"/>
        <w:spacing w:after="120"/>
        <w:ind w:left="357" w:hanging="357"/>
        <w:contextualSpacing w:val="0"/>
        <w:jc w:val="left"/>
      </w:pPr>
      <w:bookmarkStart w:id="6" w:name="_Toc204764858"/>
      <w:bookmarkStart w:id="7" w:name="_Toc204769569"/>
      <w:r w:rsidRPr="004E5CF0">
        <w:t>Effect or effects of the dealing</w:t>
      </w:r>
      <w:bookmarkEnd w:id="6"/>
      <w:bookmarkEnd w:id="7"/>
    </w:p>
    <w:p w14:paraId="296E9692" w14:textId="281B90F4" w:rsidR="00103ABD" w:rsidRDefault="00113FD1" w:rsidP="00134874">
      <w:pPr>
        <w:pStyle w:val="ListParagraph"/>
        <w:numPr>
          <w:ilvl w:val="0"/>
          <w:numId w:val="0"/>
        </w:numPr>
        <w:spacing w:before="120"/>
        <w:ind w:left="357"/>
        <w:contextualSpacing w:val="0"/>
        <w:jc w:val="left"/>
      </w:pPr>
      <w:r w:rsidRPr="00F65D82">
        <w:rPr>
          <w:noProof/>
        </w:rPr>
        <mc:AlternateContent>
          <mc:Choice Requires="wps">
            <w:drawing>
              <wp:inline distT="0" distB="0" distL="0" distR="0" wp14:anchorId="44949CCF" wp14:editId="1A8CC99B">
                <wp:extent cx="1513865" cy="6063083"/>
                <wp:effectExtent l="0" t="635" r="14605" b="14605"/>
                <wp:docPr id="174841092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513865" cy="6063083"/>
                        </a:xfrm>
                        <a:prstGeom prst="roundRect">
                          <a:avLst>
                            <a:gd name="adj" fmla="val 13032"/>
                          </a:avLst>
                        </a:prstGeom>
                        <a:solidFill>
                          <a:schemeClr val="accent1">
                            <a:lumMod val="20000"/>
                            <a:lumOff val="80000"/>
                          </a:schemeClr>
                        </a:solidFill>
                      </wps:spPr>
                      <wps:style>
                        <a:lnRef idx="2">
                          <a:schemeClr val="accent1"/>
                        </a:lnRef>
                        <a:fillRef idx="1">
                          <a:schemeClr val="lt1"/>
                        </a:fillRef>
                        <a:effectRef idx="0">
                          <a:schemeClr val="accent1"/>
                        </a:effectRef>
                        <a:fontRef idx="minor">
                          <a:schemeClr val="dk1"/>
                        </a:fontRef>
                      </wps:style>
                      <wps:txbx>
                        <w:txbxContent>
                          <w:p w14:paraId="3A959E0E" w14:textId="77777777" w:rsidR="00113FD1" w:rsidRPr="006D43E1" w:rsidRDefault="00113FD1" w:rsidP="00AC6350">
                            <w:pPr>
                              <w:spacing w:before="0" w:after="0"/>
                              <w:ind w:left="567" w:hanging="425"/>
                              <w:rPr>
                                <w:b/>
                                <w:bCs/>
                                <w:lang w:eastAsia="en-AU"/>
                              </w:rPr>
                            </w:pPr>
                            <w:r w:rsidRPr="006D43E1">
                              <w:rPr>
                                <w:b/>
                                <w:bCs/>
                                <w:lang w:eastAsia="en-AU"/>
                              </w:rPr>
                              <w:t xml:space="preserve">Guidance note: </w:t>
                            </w:r>
                          </w:p>
                          <w:p w14:paraId="20AB7497" w14:textId="2E9375AB" w:rsidR="00106E42" w:rsidRPr="004C220A" w:rsidRDefault="00106E42" w:rsidP="00AC6350">
                            <w:pPr>
                              <w:pStyle w:val="ListParagraph"/>
                              <w:numPr>
                                <w:ilvl w:val="0"/>
                                <w:numId w:val="6"/>
                              </w:numPr>
                              <w:spacing w:before="120" w:after="0"/>
                              <w:ind w:left="709"/>
                              <w:jc w:val="left"/>
                            </w:pPr>
                            <w:r w:rsidRPr="00A60426">
                              <w:rPr>
                                <w:color w:val="595959" w:themeColor="text1" w:themeTint="A6"/>
                              </w:rPr>
                              <w:t xml:space="preserve">Provide </w:t>
                            </w:r>
                            <w:r w:rsidRPr="00A60426">
                              <w:rPr>
                                <w:rFonts w:cstheme="minorHAnsi"/>
                                <w:color w:val="595959" w:themeColor="text1" w:themeTint="A6"/>
                              </w:rPr>
                              <w:t xml:space="preserve">details of the effect(s) of the dealing (upon registration), specified in terms of the relevant item in the </w:t>
                            </w:r>
                            <w:r w:rsidRPr="004C220A">
                              <w:rPr>
                                <w:rFonts w:cstheme="minorHAnsi"/>
                                <w:color w:val="595959" w:themeColor="text1" w:themeTint="A6"/>
                              </w:rPr>
                              <w:t>table in section</w:t>
                            </w:r>
                            <w:r w:rsidR="00C04A19">
                              <w:rPr>
                                <w:rFonts w:cstheme="minorHAnsi"/>
                                <w:color w:val="595959" w:themeColor="text1" w:themeTint="A6"/>
                              </w:rPr>
                              <w:t>s</w:t>
                            </w:r>
                            <w:r w:rsidRPr="004C220A">
                              <w:rPr>
                                <w:rFonts w:cstheme="minorHAnsi"/>
                                <w:color w:val="595959" w:themeColor="text1" w:themeTint="A6"/>
                              </w:rPr>
                              <w:t xml:space="preserve"> </w:t>
                            </w:r>
                            <w:r w:rsidR="00C04A19">
                              <w:rPr>
                                <w:rFonts w:cstheme="minorHAnsi"/>
                                <w:color w:val="595959" w:themeColor="text1" w:themeTint="A6"/>
                              </w:rPr>
                              <w:t xml:space="preserve">486 or </w:t>
                            </w:r>
                            <w:r w:rsidRPr="004C220A">
                              <w:rPr>
                                <w:rFonts w:cstheme="minorHAnsi"/>
                                <w:color w:val="595959" w:themeColor="text1" w:themeTint="A6"/>
                              </w:rPr>
                              <w:t>537 of the OPGGS Act.</w:t>
                            </w:r>
                          </w:p>
                          <w:p w14:paraId="7B773AE6" w14:textId="1DD28B97" w:rsidR="00113FD1" w:rsidRPr="006D43E1" w:rsidRDefault="00113FD1" w:rsidP="00AC6350">
                            <w:pPr>
                              <w:pStyle w:val="ListParagraph"/>
                              <w:numPr>
                                <w:ilvl w:val="0"/>
                                <w:numId w:val="6"/>
                              </w:numPr>
                              <w:spacing w:before="120" w:after="0"/>
                              <w:ind w:left="709"/>
                              <w:jc w:val="left"/>
                            </w:pPr>
                            <w:r w:rsidRPr="004C220A">
                              <w:t>Attachment</w:t>
                            </w:r>
                            <w:r w:rsidR="00AD08F4" w:rsidRPr="004C220A">
                              <w:t xml:space="preserve"> 1 </w:t>
                            </w:r>
                            <w:r w:rsidRPr="004C220A">
                              <w:t>of the Guideline provides some examples of possible dealings in relation to petroleum titles for each item number under section 486 of</w:t>
                            </w:r>
                            <w:r w:rsidRPr="006D43E1">
                              <w:t xml:space="preserve"> the </w:t>
                            </w:r>
                            <w:r w:rsidR="00106E42">
                              <w:t xml:space="preserve">OPGGS </w:t>
                            </w:r>
                            <w:r w:rsidRPr="006D43E1">
                              <w:t>Act. This is not an exhaustive list, and it is noted that the relevant item</w:t>
                            </w:r>
                            <w:r>
                              <w:t>(s)</w:t>
                            </w:r>
                            <w:r w:rsidRPr="006D43E1">
                              <w:t xml:space="preserve"> should always be considered against the particulars of the dealing.</w:t>
                            </w:r>
                          </w:p>
                        </w:txbxContent>
                      </wps:txbx>
                      <wps:bodyPr rot="0" vert="horz" wrap="square" lIns="91440" tIns="36000" rIns="91440" bIns="36000" anchor="ctr" anchorCtr="0" upright="1">
                        <a:spAutoFit/>
                      </wps:bodyPr>
                    </wps:wsp>
                  </a:graphicData>
                </a:graphic>
              </wp:inline>
            </w:drawing>
          </mc:Choice>
          <mc:Fallback>
            <w:pict>
              <v:roundrect w14:anchorId="44949CCF" id="_x0000_s1032" style="width:119.2pt;height:477.4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" fillcolor="#d9e2f3 [660]" strokecolor="#4472c4 [3204]" strokeweight="1pt">
                <v:stroke joinstyle="miter"/>
                <v:textbox style="mso-fit-shape-to-text:t" inset=",1mm,,1mm">
                  <w:txbxContent>
                    <w:p w14:paraId="3A959E0E" w14:textId="77777777" w:rsidR="00113FD1" w:rsidRPr="006D43E1" w:rsidRDefault="00113FD1" w:rsidP="00AC6350">
                      <w:pPr>
                        <w:spacing w:before="0" w:after="0"/>
                        <w:ind w:left="567" w:hanging="425"/>
                        <w:rPr>
                          <w:b/>
                          <w:bCs/>
                          <w:lang w:eastAsia="en-AU"/>
                        </w:rPr>
                      </w:pPr>
                      <w:r w:rsidRPr="006D43E1">
                        <w:rPr>
                          <w:b/>
                          <w:bCs/>
                          <w:lang w:eastAsia="en-AU"/>
                        </w:rPr>
                        <w:t xml:space="preserve">Guidance note: </w:t>
                      </w:r>
                    </w:p>
                    <w:p w14:paraId="20AB7497" w14:textId="2E9375AB" w:rsidR="00106E42" w:rsidRPr="004C220A" w:rsidRDefault="00106E42" w:rsidP="00AC6350">
                      <w:pPr>
                        <w:pStyle w:val="ListParagraph"/>
                        <w:numPr>
                          <w:ilvl w:val="0"/>
                          <w:numId w:val="6"/>
                        </w:numPr>
                        <w:spacing w:before="120" w:after="0"/>
                        <w:ind w:left="709"/>
                        <w:jc w:val="left"/>
                      </w:pPr>
                      <w:r w:rsidRPr="00A60426">
                        <w:rPr>
                          <w:color w:val="595959" w:themeColor="text1" w:themeTint="A6"/>
                        </w:rPr>
                        <w:t xml:space="preserve">Provide </w:t>
                      </w:r>
                      <w:r w:rsidRPr="00A60426">
                        <w:rPr>
                          <w:rFonts w:cstheme="minorHAnsi"/>
                          <w:color w:val="595959" w:themeColor="text1" w:themeTint="A6"/>
                        </w:rPr>
                        <w:t xml:space="preserve">details of the effect(s) of the dealing (upon registration), specified in terms of the relevant item in the </w:t>
                      </w:r>
                      <w:r w:rsidRPr="004C220A">
                        <w:rPr>
                          <w:rFonts w:cstheme="minorHAnsi"/>
                          <w:color w:val="595959" w:themeColor="text1" w:themeTint="A6"/>
                        </w:rPr>
                        <w:t>table in section</w:t>
                      </w:r>
                      <w:r w:rsidR="00C04A19">
                        <w:rPr>
                          <w:rFonts w:cstheme="minorHAnsi"/>
                          <w:color w:val="595959" w:themeColor="text1" w:themeTint="A6"/>
                        </w:rPr>
                        <w:t>s</w:t>
                      </w:r>
                      <w:r w:rsidRPr="004C220A">
                        <w:rPr>
                          <w:rFonts w:cstheme="minorHAnsi"/>
                          <w:color w:val="595959" w:themeColor="text1" w:themeTint="A6"/>
                        </w:rPr>
                        <w:t xml:space="preserve"> </w:t>
                      </w:r>
                      <w:r w:rsidR="00C04A19">
                        <w:rPr>
                          <w:rFonts w:cstheme="minorHAnsi"/>
                          <w:color w:val="595959" w:themeColor="text1" w:themeTint="A6"/>
                        </w:rPr>
                        <w:t xml:space="preserve">486 or </w:t>
                      </w:r>
                      <w:r w:rsidRPr="004C220A">
                        <w:rPr>
                          <w:rFonts w:cstheme="minorHAnsi"/>
                          <w:color w:val="595959" w:themeColor="text1" w:themeTint="A6"/>
                        </w:rPr>
                        <w:t>537 of the OPGGS Act.</w:t>
                      </w:r>
                    </w:p>
                    <w:p w14:paraId="7B773AE6" w14:textId="1DD28B97" w:rsidR="00113FD1" w:rsidRPr="006D43E1" w:rsidRDefault="00113FD1" w:rsidP="00AC6350">
                      <w:pPr>
                        <w:pStyle w:val="ListParagraph"/>
                        <w:numPr>
                          <w:ilvl w:val="0"/>
                          <w:numId w:val="6"/>
                        </w:numPr>
                        <w:spacing w:before="120" w:after="0"/>
                        <w:ind w:left="709"/>
                        <w:jc w:val="left"/>
                      </w:pPr>
                      <w:r w:rsidRPr="004C220A">
                        <w:t>Attachment</w:t>
                      </w:r>
                      <w:r w:rsidR="00AD08F4" w:rsidRPr="004C220A">
                        <w:t xml:space="preserve"> 1 </w:t>
                      </w:r>
                      <w:r w:rsidRPr="004C220A">
                        <w:t>of the Guideline provides some examples of possible dealings in relation to petroleum titles for each item number under section 486 of</w:t>
                      </w:r>
                      <w:r w:rsidRPr="006D43E1">
                        <w:t xml:space="preserve"> the </w:t>
                      </w:r>
                      <w:r w:rsidR="00106E42">
                        <w:t xml:space="preserve">OPGGS </w:t>
                      </w:r>
                      <w:r w:rsidRPr="006D43E1">
                        <w:t>Act. This is not an exhaustive list, and it is noted that the relevant item</w:t>
                      </w:r>
                      <w:r>
                        <w:t>(s)</w:t>
                      </w:r>
                      <w:r w:rsidRPr="006D43E1">
                        <w:t xml:space="preserve"> should always be considered against the particulars of the dealing.</w:t>
                      </w:r>
                    </w:p>
                  </w:txbxContent>
                </v:textbox>
                <w10:anchorlock/>
              </v:roundrect>
            </w:pict>
          </mc:Fallback>
        </mc:AlternateContent>
      </w:r>
    </w:p>
    <w:p w14:paraId="5624217D" w14:textId="77777777" w:rsidR="00113FD1" w:rsidRDefault="004E5CF0" w:rsidP="00134874">
      <w:pPr>
        <w:pStyle w:val="ListParagraph"/>
        <w:spacing w:after="120"/>
        <w:ind w:left="357" w:hanging="357"/>
        <w:contextualSpacing w:val="0"/>
        <w:jc w:val="left"/>
      </w:pPr>
      <w:r w:rsidRPr="004E5CF0">
        <w:t>Titleholders and parties to the dealing</w:t>
      </w:r>
    </w:p>
    <w:p w14:paraId="29D3E539" w14:textId="395F3F13" w:rsidR="00103ABD" w:rsidRDefault="005F2F16" w:rsidP="00134874">
      <w:pPr>
        <w:pStyle w:val="ListParagraph"/>
        <w:numPr>
          <w:ilvl w:val="0"/>
          <w:numId w:val="0"/>
        </w:numPr>
        <w:spacing w:before="120"/>
        <w:ind w:left="357"/>
        <w:contextualSpacing w:val="0"/>
        <w:jc w:val="left"/>
      </w:pPr>
      <w:r w:rsidRPr="00495ABC">
        <w:rPr>
          <w:b/>
          <w:bCs/>
          <w:noProof/>
          <w:color w:val="FF0000"/>
        </w:rPr>
        <mc:AlternateContent>
          <mc:Choice Requires="wps">
            <w:drawing>
              <wp:inline distT="0" distB="0" distL="0" distR="0" wp14:anchorId="160396F1" wp14:editId="2E0B20AF">
                <wp:extent cx="675427" cy="6077559"/>
                <wp:effectExtent l="6985" t="0" r="12065" b="31115"/>
                <wp:docPr id="94950857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75427" cy="6077559"/>
                        </a:xfrm>
                        <a:prstGeom prst="roundRect">
                          <a:avLst>
                            <a:gd name="adj" fmla="val 13032"/>
                          </a:avLst>
                        </a:prstGeom>
                        <a:solidFill>
                          <a:schemeClr val="accent1">
                            <a:lumMod val="20000"/>
                            <a:lumOff val="80000"/>
                          </a:schemeClr>
                        </a:solidFill>
                      </wps:spPr>
                      <wps:style>
                        <a:lnRef idx="2">
                          <a:schemeClr val="accent1"/>
                        </a:lnRef>
                        <a:fillRef idx="1">
                          <a:schemeClr val="lt1"/>
                        </a:fillRef>
                        <a:effectRef idx="0">
                          <a:schemeClr val="accent1"/>
                        </a:effectRef>
                        <a:fontRef idx="minor">
                          <a:schemeClr val="dk1"/>
                        </a:fontRef>
                      </wps:style>
                      <wps:txbx>
                        <w:txbxContent>
                          <w:p w14:paraId="64D6E938" w14:textId="77777777" w:rsidR="005F2F16" w:rsidRPr="006D43E1" w:rsidRDefault="005F2F16" w:rsidP="00F65D82">
                            <w:pPr>
                              <w:spacing w:before="0"/>
                              <w:ind w:left="567" w:hanging="425"/>
                              <w:rPr>
                                <w:b/>
                                <w:bCs/>
                                <w:lang w:eastAsia="en-AU"/>
                              </w:rPr>
                            </w:pPr>
                            <w:r w:rsidRPr="006D43E1">
                              <w:rPr>
                                <w:b/>
                                <w:bCs/>
                                <w:lang w:eastAsia="en-AU"/>
                              </w:rPr>
                              <w:t>Guidance note:</w:t>
                            </w:r>
                          </w:p>
                          <w:p w14:paraId="40BBA129" w14:textId="000B7645" w:rsidR="005F2F16" w:rsidRPr="006D43E1" w:rsidRDefault="005F2F16" w:rsidP="00F65D82">
                            <w:pPr>
                              <w:pStyle w:val="ListParagraph"/>
                              <w:numPr>
                                <w:ilvl w:val="0"/>
                                <w:numId w:val="6"/>
                              </w:numPr>
                              <w:spacing w:before="120" w:after="120"/>
                              <w:ind w:left="851"/>
                              <w:contextualSpacing w:val="0"/>
                              <w:jc w:val="left"/>
                            </w:pPr>
                            <w:r>
                              <w:t xml:space="preserve">Each </w:t>
                            </w:r>
                            <w:r w:rsidR="00D26C9C">
                              <w:t>registered holder of the title and</w:t>
                            </w:r>
                            <w:r w:rsidR="00B41AB2">
                              <w:t xml:space="preserve"> </w:t>
                            </w:r>
                            <w:r>
                              <w:t>party to the dealing must be listed.</w:t>
                            </w:r>
                          </w:p>
                        </w:txbxContent>
                      </wps:txbx>
                      <wps:bodyPr rot="0" vert="horz" wrap="square" lIns="91440" tIns="36000" rIns="91440" bIns="36000" anchor="ctr" anchorCtr="0" upright="1">
                        <a:spAutoFit/>
                      </wps:bodyPr>
                    </wps:wsp>
                  </a:graphicData>
                </a:graphic>
              </wp:inline>
            </w:drawing>
          </mc:Choice>
          <mc:Fallback>
            <w:pict>
              <v:roundrect w14:anchorId="160396F1" id="_x0000_s1033" style="width:53.2pt;height:478.5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" fillcolor="#d9e2f3 [660]" strokecolor="#4472c4 [3204]" strokeweight="1pt">
                <v:stroke joinstyle="miter"/>
                <v:textbox style="mso-fit-shape-to-text:t" inset=",1mm,,1mm">
                  <w:txbxContent>
                    <w:p w14:paraId="64D6E938" w14:textId="77777777" w:rsidR="005F2F16" w:rsidRPr="006D43E1" w:rsidRDefault="005F2F16" w:rsidP="00F65D82">
                      <w:pPr>
                        <w:spacing w:before="0"/>
                        <w:ind w:left="567" w:hanging="425"/>
                        <w:rPr>
                          <w:b/>
                          <w:bCs/>
                          <w:lang w:eastAsia="en-AU"/>
                        </w:rPr>
                      </w:pPr>
                      <w:r w:rsidRPr="006D43E1">
                        <w:rPr>
                          <w:b/>
                          <w:bCs/>
                          <w:lang w:eastAsia="en-AU"/>
                        </w:rPr>
                        <w:t>Guidance note:</w:t>
                      </w:r>
                    </w:p>
                    <w:p w14:paraId="40BBA129" w14:textId="000B7645" w:rsidR="005F2F16" w:rsidRPr="006D43E1" w:rsidRDefault="005F2F16" w:rsidP="00F65D82">
                      <w:pPr>
                        <w:pStyle w:val="ListParagraph"/>
                        <w:numPr>
                          <w:ilvl w:val="0"/>
                          <w:numId w:val="6"/>
                        </w:numPr>
                        <w:spacing w:before="120" w:after="120"/>
                        <w:ind w:left="851"/>
                        <w:contextualSpacing w:val="0"/>
                        <w:jc w:val="left"/>
                      </w:pPr>
                      <w:r>
                        <w:t xml:space="preserve">Each </w:t>
                      </w:r>
                      <w:r w:rsidR="00D26C9C">
                        <w:t>registered holder of the title and</w:t>
                      </w:r>
                      <w:r w:rsidR="00B41AB2">
                        <w:t xml:space="preserve"> </w:t>
                      </w:r>
                      <w:r>
                        <w:t>party to the dealing must be listed.</w:t>
                      </w:r>
                    </w:p>
                  </w:txbxContent>
                </v:textbox>
                <w10:anchorlock/>
              </v:roundrect>
            </w:pict>
          </mc:Fallback>
        </mc:AlternateContent>
      </w:r>
    </w:p>
    <w:p w14:paraId="267B8375" w14:textId="000F4C99" w:rsidR="00103ABD" w:rsidRDefault="004E5CF0" w:rsidP="00134874">
      <w:pPr>
        <w:pStyle w:val="ListParagraph"/>
        <w:spacing w:after="120"/>
        <w:ind w:left="357" w:hanging="357"/>
        <w:contextualSpacing w:val="0"/>
        <w:jc w:val="left"/>
      </w:pPr>
      <w:r w:rsidRPr="004E5CF0">
        <w:t>Interests (%) in the title before registration of the dealing</w:t>
      </w:r>
    </w:p>
    <w:p w14:paraId="26EE7E99" w14:textId="29F480C1" w:rsidR="00103ABD" w:rsidRDefault="00194566" w:rsidP="00134874">
      <w:pPr>
        <w:pStyle w:val="ListParagraph"/>
        <w:numPr>
          <w:ilvl w:val="0"/>
          <w:numId w:val="0"/>
        </w:numPr>
        <w:tabs>
          <w:tab w:val="left" w:pos="9923"/>
        </w:tabs>
        <w:spacing w:before="120"/>
        <w:ind w:left="357"/>
        <w:contextualSpacing w:val="0"/>
        <w:jc w:val="left"/>
      </w:pPr>
      <w:r w:rsidRPr="00495ABC">
        <w:rPr>
          <w:b/>
          <w:bCs/>
          <w:noProof/>
          <w:color w:val="FF0000"/>
        </w:rPr>
        <mc:AlternateContent>
          <mc:Choice Requires="wps">
            <w:drawing>
              <wp:inline distT="0" distB="0" distL="0" distR="0" wp14:anchorId="23FC3A7E" wp14:editId="2B45DDB5">
                <wp:extent cx="1170308" cy="6082615"/>
                <wp:effectExtent l="0" t="2857" r="16827" b="16828"/>
                <wp:docPr id="158808642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170308" cy="6082615"/>
                        </a:xfrm>
                        <a:prstGeom prst="roundRect">
                          <a:avLst>
                            <a:gd name="adj" fmla="val 13032"/>
                          </a:avLst>
                        </a:prstGeom>
                        <a:solidFill>
                          <a:schemeClr val="accent1">
                            <a:lumMod val="20000"/>
                            <a:lumOff val="80000"/>
                          </a:schemeClr>
                        </a:solidFill>
                      </wps:spPr>
                      <wps:style>
                        <a:lnRef idx="2">
                          <a:schemeClr val="accent1"/>
                        </a:lnRef>
                        <a:fillRef idx="1">
                          <a:schemeClr val="lt1"/>
                        </a:fillRef>
                        <a:effectRef idx="0">
                          <a:schemeClr val="accent1"/>
                        </a:effectRef>
                        <a:fontRef idx="minor">
                          <a:schemeClr val="dk1"/>
                        </a:fontRef>
                      </wps:style>
                      <wps:txbx>
                        <w:txbxContent>
                          <w:p w14:paraId="13529A0E" w14:textId="77777777" w:rsidR="00194566" w:rsidRPr="006D43E1" w:rsidRDefault="00194566" w:rsidP="00F65D82">
                            <w:pPr>
                              <w:spacing w:before="0"/>
                              <w:ind w:left="567" w:hanging="425"/>
                              <w:rPr>
                                <w:b/>
                                <w:bCs/>
                                <w:lang w:eastAsia="en-AU"/>
                              </w:rPr>
                            </w:pPr>
                            <w:r w:rsidRPr="006D43E1">
                              <w:rPr>
                                <w:b/>
                                <w:bCs/>
                                <w:lang w:eastAsia="en-AU"/>
                              </w:rPr>
                              <w:t>Guidance note:</w:t>
                            </w:r>
                          </w:p>
                          <w:p w14:paraId="24ED0FEC" w14:textId="77777777" w:rsidR="00276C75" w:rsidRDefault="0061363C" w:rsidP="0061363C">
                            <w:pPr>
                              <w:pStyle w:val="ListParagraph"/>
                              <w:numPr>
                                <w:ilvl w:val="0"/>
                                <w:numId w:val="6"/>
                              </w:numPr>
                              <w:spacing w:before="120" w:after="120"/>
                              <w:ind w:left="709"/>
                              <w:jc w:val="left"/>
                              <w:rPr>
                                <w:color w:val="595959" w:themeColor="text1" w:themeTint="A6"/>
                              </w:rPr>
                            </w:pPr>
                            <w:r>
                              <w:rPr>
                                <w:color w:val="595959" w:themeColor="text1" w:themeTint="A6"/>
                              </w:rPr>
                              <w:t>The</w:t>
                            </w:r>
                            <w:r w:rsidRPr="00F8761A">
                              <w:rPr>
                                <w:color w:val="595959" w:themeColor="text1" w:themeTint="A6"/>
                              </w:rPr>
                              <w:t xml:space="preserve"> percentage (%) interests in the title of all parties to the dealing and titleholders before registration of the dealing</w:t>
                            </w:r>
                            <w:r w:rsidR="00276C75">
                              <w:rPr>
                                <w:color w:val="595959" w:themeColor="text1" w:themeTint="A6"/>
                              </w:rPr>
                              <w:t xml:space="preserve"> must be provided</w:t>
                            </w:r>
                            <w:r w:rsidRPr="00F8761A">
                              <w:rPr>
                                <w:color w:val="595959" w:themeColor="text1" w:themeTint="A6"/>
                              </w:rPr>
                              <w:t xml:space="preserve">. </w:t>
                            </w:r>
                          </w:p>
                          <w:p w14:paraId="6745AFC6" w14:textId="5AAFC6A8" w:rsidR="00493747" w:rsidRDefault="00493747" w:rsidP="00F65D82">
                            <w:pPr>
                              <w:pStyle w:val="ListParagraph"/>
                              <w:numPr>
                                <w:ilvl w:val="0"/>
                                <w:numId w:val="6"/>
                              </w:numPr>
                              <w:spacing w:before="120" w:after="0"/>
                              <w:ind w:left="709"/>
                              <w:jc w:val="left"/>
                              <w:rPr>
                                <w:color w:val="595959" w:themeColor="text1" w:themeTint="A6"/>
                              </w:rPr>
                            </w:pPr>
                            <w:r>
                              <w:rPr>
                                <w:color w:val="595959" w:themeColor="text1" w:themeTint="A6"/>
                              </w:rPr>
                              <w:t>I</w:t>
                            </w:r>
                            <w:r w:rsidRPr="00464267">
                              <w:rPr>
                                <w:color w:val="595959" w:themeColor="text1" w:themeTint="A6"/>
                              </w:rPr>
                              <w:t>f a party to the dealing has no interests in the title</w:t>
                            </w:r>
                            <w:r w:rsidR="00DF29E0">
                              <w:rPr>
                                <w:color w:val="595959" w:themeColor="text1" w:themeTint="A6"/>
                              </w:rPr>
                              <w:t xml:space="preserve">, this should be reflected </w:t>
                            </w:r>
                            <w:r w:rsidRPr="00464267">
                              <w:rPr>
                                <w:color w:val="595959" w:themeColor="text1" w:themeTint="A6"/>
                              </w:rPr>
                              <w:t>as 0%.</w:t>
                            </w:r>
                          </w:p>
                          <w:p w14:paraId="412E580B" w14:textId="6A7009FE" w:rsidR="00194566" w:rsidRPr="006D43E1" w:rsidRDefault="0061363C" w:rsidP="00134874">
                            <w:pPr>
                              <w:pStyle w:val="bullet"/>
                            </w:pPr>
                            <w:r w:rsidRPr="00DF29E0">
                              <w:t xml:space="preserve">Percentage (%) interests in the title must total 100%. </w:t>
                            </w:r>
                          </w:p>
                        </w:txbxContent>
                      </wps:txbx>
                      <wps:bodyPr rot="0" vert="horz" wrap="square" lIns="91440" tIns="36000" rIns="91440" bIns="36000" anchor="ctr" anchorCtr="0" upright="1">
                        <a:spAutoFit/>
                      </wps:bodyPr>
                    </wps:wsp>
                  </a:graphicData>
                </a:graphic>
              </wp:inline>
            </w:drawing>
          </mc:Choice>
          <mc:Fallback>
            <w:pict>
              <v:roundrect w14:anchorId="23FC3A7E" id="_x0000_s1034" style="width:92.15pt;height:478.9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" fillcolor="#d9e2f3 [660]" strokecolor="#4472c4 [3204]" strokeweight="1pt">
                <v:stroke joinstyle="miter"/>
                <v:textbox style="mso-fit-shape-to-text:t" inset=",1mm,,1mm">
                  <w:txbxContent>
                    <w:p w14:paraId="13529A0E" w14:textId="77777777" w:rsidR="00194566" w:rsidRPr="006D43E1" w:rsidRDefault="00194566" w:rsidP="00F65D82">
                      <w:pPr>
                        <w:spacing w:before="0"/>
                        <w:ind w:left="567" w:hanging="425"/>
                        <w:rPr>
                          <w:b/>
                          <w:bCs/>
                          <w:lang w:eastAsia="en-AU"/>
                        </w:rPr>
                      </w:pPr>
                      <w:r w:rsidRPr="006D43E1">
                        <w:rPr>
                          <w:b/>
                          <w:bCs/>
                          <w:lang w:eastAsia="en-AU"/>
                        </w:rPr>
                        <w:t>Guidance note:</w:t>
                      </w:r>
                    </w:p>
                    <w:p w14:paraId="24ED0FEC" w14:textId="77777777" w:rsidR="00276C75" w:rsidRDefault="0061363C" w:rsidP="0061363C">
                      <w:pPr>
                        <w:pStyle w:val="ListParagraph"/>
                        <w:numPr>
                          <w:ilvl w:val="0"/>
                          <w:numId w:val="6"/>
                        </w:numPr>
                        <w:spacing w:before="120" w:after="120"/>
                        <w:ind w:left="709"/>
                        <w:jc w:val="left"/>
                        <w:rPr>
                          <w:color w:val="595959" w:themeColor="text1" w:themeTint="A6"/>
                        </w:rPr>
                      </w:pPr>
                      <w:r>
                        <w:rPr>
                          <w:color w:val="595959" w:themeColor="text1" w:themeTint="A6"/>
                        </w:rPr>
                        <w:t>The</w:t>
                      </w:r>
                      <w:r w:rsidRPr="00F8761A">
                        <w:rPr>
                          <w:color w:val="595959" w:themeColor="text1" w:themeTint="A6"/>
                        </w:rPr>
                        <w:t xml:space="preserve"> percentage (%) interests in the title of all parties to the dealing and titleholders before registration of the dealing</w:t>
                      </w:r>
                      <w:r w:rsidR="00276C75">
                        <w:rPr>
                          <w:color w:val="595959" w:themeColor="text1" w:themeTint="A6"/>
                        </w:rPr>
                        <w:t xml:space="preserve"> must be provided</w:t>
                      </w:r>
                      <w:r w:rsidRPr="00F8761A">
                        <w:rPr>
                          <w:color w:val="595959" w:themeColor="text1" w:themeTint="A6"/>
                        </w:rPr>
                        <w:t xml:space="preserve">. </w:t>
                      </w:r>
                    </w:p>
                    <w:p w14:paraId="6745AFC6" w14:textId="5AAFC6A8" w:rsidR="00493747" w:rsidRDefault="00493747" w:rsidP="00F65D82">
                      <w:pPr>
                        <w:pStyle w:val="ListParagraph"/>
                        <w:numPr>
                          <w:ilvl w:val="0"/>
                          <w:numId w:val="6"/>
                        </w:numPr>
                        <w:spacing w:before="120" w:after="0"/>
                        <w:ind w:left="709"/>
                        <w:jc w:val="left"/>
                        <w:rPr>
                          <w:color w:val="595959" w:themeColor="text1" w:themeTint="A6"/>
                        </w:rPr>
                      </w:pPr>
                      <w:r>
                        <w:rPr>
                          <w:color w:val="595959" w:themeColor="text1" w:themeTint="A6"/>
                        </w:rPr>
                        <w:t>I</w:t>
                      </w:r>
                      <w:r w:rsidRPr="00464267">
                        <w:rPr>
                          <w:color w:val="595959" w:themeColor="text1" w:themeTint="A6"/>
                        </w:rPr>
                        <w:t>f a party to the dealing has no interests in the title</w:t>
                      </w:r>
                      <w:r w:rsidR="00DF29E0">
                        <w:rPr>
                          <w:color w:val="595959" w:themeColor="text1" w:themeTint="A6"/>
                        </w:rPr>
                        <w:t xml:space="preserve">, this should be reflected </w:t>
                      </w:r>
                      <w:r w:rsidRPr="00464267">
                        <w:rPr>
                          <w:color w:val="595959" w:themeColor="text1" w:themeTint="A6"/>
                        </w:rPr>
                        <w:t>as 0%.</w:t>
                      </w:r>
                    </w:p>
                    <w:p w14:paraId="412E580B" w14:textId="6A7009FE" w:rsidR="00194566" w:rsidRPr="006D43E1" w:rsidRDefault="0061363C" w:rsidP="00134874">
                      <w:pPr>
                        <w:pStyle w:val="bullet"/>
                      </w:pPr>
                      <w:r w:rsidRPr="00DF29E0">
                        <w:t xml:space="preserve">Percentage (%) interests in the title must total 100%. </w:t>
                      </w:r>
                    </w:p>
                  </w:txbxContent>
                </v:textbox>
                <w10:anchorlock/>
              </v:roundrect>
            </w:pict>
          </mc:Fallback>
        </mc:AlternateContent>
      </w:r>
    </w:p>
    <w:p w14:paraId="79059E59" w14:textId="6EC62474" w:rsidR="004E5CF0" w:rsidRDefault="004E5CF0" w:rsidP="00134874">
      <w:pPr>
        <w:pStyle w:val="ListParagraph"/>
        <w:keepNext/>
        <w:keepLines/>
        <w:spacing w:after="120"/>
        <w:ind w:left="357" w:hanging="357"/>
        <w:contextualSpacing w:val="0"/>
        <w:jc w:val="left"/>
      </w:pPr>
      <w:r w:rsidRPr="004E5CF0">
        <w:lastRenderedPageBreak/>
        <w:t>Interests (%) in the title after registration of the dealing</w:t>
      </w:r>
    </w:p>
    <w:p w14:paraId="0C1AC544" w14:textId="0F9B8409" w:rsidR="00103ABD" w:rsidRDefault="00B41AB2" w:rsidP="00134874">
      <w:pPr>
        <w:pStyle w:val="ListParagraph"/>
        <w:keepNext/>
        <w:keepLines/>
        <w:numPr>
          <w:ilvl w:val="0"/>
          <w:numId w:val="0"/>
        </w:numPr>
        <w:spacing w:before="120"/>
        <w:ind w:left="357"/>
        <w:contextualSpacing w:val="0"/>
        <w:jc w:val="left"/>
      </w:pPr>
      <w:r w:rsidRPr="00F65D82">
        <w:rPr>
          <w:noProof/>
        </w:rPr>
        <mc:AlternateContent>
          <mc:Choice Requires="wps">
            <w:drawing>
              <wp:inline distT="0" distB="0" distL="0" distR="0" wp14:anchorId="5C25064A" wp14:editId="689F2756">
                <wp:extent cx="3011754" cy="6077190"/>
                <wp:effectExtent l="7620" t="0" r="11430" b="11430"/>
                <wp:docPr id="96011294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011754" cy="6077190"/>
                        </a:xfrm>
                        <a:prstGeom prst="roundRect">
                          <a:avLst>
                            <a:gd name="adj" fmla="val 13032"/>
                          </a:avLst>
                        </a:prstGeom>
                        <a:solidFill>
                          <a:schemeClr val="accent1">
                            <a:lumMod val="20000"/>
                            <a:lumOff val="80000"/>
                          </a:schemeClr>
                        </a:solidFill>
                      </wps:spPr>
                      <wps:style>
                        <a:lnRef idx="2">
                          <a:schemeClr val="accent1"/>
                        </a:lnRef>
                        <a:fillRef idx="1">
                          <a:schemeClr val="lt1"/>
                        </a:fillRef>
                        <a:effectRef idx="0">
                          <a:schemeClr val="accent1"/>
                        </a:effectRef>
                        <a:fontRef idx="minor">
                          <a:schemeClr val="dk1"/>
                        </a:fontRef>
                      </wps:style>
                      <wps:txbx>
                        <w:txbxContent>
                          <w:p w14:paraId="7EFC88B6" w14:textId="77777777" w:rsidR="00B41AB2" w:rsidRPr="006D43E1" w:rsidRDefault="00B41AB2" w:rsidP="00F65D82">
                            <w:pPr>
                              <w:spacing w:before="0"/>
                              <w:ind w:left="567" w:hanging="425"/>
                              <w:rPr>
                                <w:b/>
                                <w:bCs/>
                                <w:lang w:eastAsia="en-AU"/>
                              </w:rPr>
                            </w:pPr>
                            <w:r w:rsidRPr="006D43E1">
                              <w:rPr>
                                <w:b/>
                                <w:bCs/>
                                <w:lang w:eastAsia="en-AU"/>
                              </w:rPr>
                              <w:t xml:space="preserve">Guidance note: </w:t>
                            </w:r>
                          </w:p>
                          <w:p w14:paraId="3915B8E3" w14:textId="77777777" w:rsidR="00B41AB2" w:rsidRPr="006D43E1" w:rsidRDefault="00B41AB2" w:rsidP="00F65D82">
                            <w:pPr>
                              <w:pStyle w:val="ListParagraph"/>
                              <w:numPr>
                                <w:ilvl w:val="0"/>
                                <w:numId w:val="6"/>
                              </w:numPr>
                              <w:spacing w:before="120" w:after="120"/>
                              <w:ind w:left="850" w:hanging="357"/>
                              <w:jc w:val="left"/>
                            </w:pPr>
                            <w:r w:rsidRPr="006D43E1">
                              <w:t xml:space="preserve">When completing this section, applicants should be mindful that not all dealings will directly result in a change in title interests. For example, a Sale and Purchase Agreement may ultimately lead to a change in title interests (on completion of any conditions precedent and execution of other relevant agreements), but </w:t>
                            </w:r>
                            <w:r w:rsidRPr="00BF2E2A">
                              <w:rPr>
                                <w:b/>
                                <w:bCs/>
                              </w:rPr>
                              <w:t>the change of interests will not occur</w:t>
                            </w:r>
                            <w:r w:rsidRPr="006D43E1">
                              <w:t xml:space="preserve"> until such time as a Transfer of Title is approved and registered.</w:t>
                            </w:r>
                          </w:p>
                          <w:p w14:paraId="11629F3B" w14:textId="77777777" w:rsidR="00B41AB2" w:rsidRPr="006D43E1" w:rsidRDefault="00B41AB2" w:rsidP="00F65D82">
                            <w:pPr>
                              <w:pStyle w:val="ListParagraph"/>
                              <w:numPr>
                                <w:ilvl w:val="0"/>
                                <w:numId w:val="6"/>
                              </w:numPr>
                              <w:spacing w:before="120" w:after="120"/>
                              <w:ind w:left="850" w:hanging="357"/>
                              <w:jc w:val="left"/>
                            </w:pPr>
                            <w:r w:rsidRPr="006D43E1">
                              <w:t>In such cases, the applicant may in this section of the supplementary instrument:</w:t>
                            </w:r>
                          </w:p>
                          <w:p w14:paraId="0F8347D8" w14:textId="77777777" w:rsidR="00B41AB2" w:rsidRPr="006D43E1" w:rsidRDefault="00B41AB2" w:rsidP="00F65D82">
                            <w:pPr>
                              <w:pStyle w:val="ListParagraph"/>
                              <w:numPr>
                                <w:ilvl w:val="1"/>
                                <w:numId w:val="6"/>
                              </w:numPr>
                              <w:spacing w:before="120" w:after="120"/>
                              <w:ind w:left="1418"/>
                              <w:jc w:val="left"/>
                            </w:pPr>
                            <w:r w:rsidRPr="006D43E1">
                              <w:t>show the title interests as remaining unchanged in the event of approval and registration of the dealing; or</w:t>
                            </w:r>
                          </w:p>
                          <w:p w14:paraId="3A67DFCB" w14:textId="48B6760A" w:rsidR="00B41AB2" w:rsidRPr="006D43E1" w:rsidRDefault="00B41AB2" w:rsidP="00F65D82">
                            <w:pPr>
                              <w:pStyle w:val="ListParagraph"/>
                              <w:numPr>
                                <w:ilvl w:val="1"/>
                                <w:numId w:val="6"/>
                              </w:numPr>
                              <w:spacing w:before="120" w:after="120"/>
                              <w:ind w:left="1418"/>
                              <w:jc w:val="left"/>
                            </w:pPr>
                            <w:r w:rsidRPr="006D43E1">
                              <w:t xml:space="preserve">set out the change in title interests that will eventuate, </w:t>
                            </w:r>
                            <w:r>
                              <w:t xml:space="preserve">and </w:t>
                            </w:r>
                            <w:r w:rsidR="00205EF1">
                              <w:t>indicate</w:t>
                            </w:r>
                            <w:r w:rsidRPr="006D43E1">
                              <w:t xml:space="preserve"> that those changes in title interests are conditional upon the future approval and registration of a </w:t>
                            </w:r>
                            <w:r w:rsidR="00D25FE3" w:rsidRPr="006D43E1">
                              <w:t xml:space="preserve">transfer of title </w:t>
                            </w:r>
                            <w:r w:rsidRPr="006D43E1">
                              <w:t xml:space="preserve">under part 4.3 </w:t>
                            </w:r>
                            <w:r w:rsidR="00A9345C">
                              <w:t xml:space="preserve">or </w:t>
                            </w:r>
                            <w:r w:rsidR="00D25FE3">
                              <w:t xml:space="preserve">part 5.3 </w:t>
                            </w:r>
                            <w:r w:rsidRPr="006D43E1">
                              <w:t xml:space="preserve">of the </w:t>
                            </w:r>
                            <w:r w:rsidR="0070581E">
                              <w:t xml:space="preserve">OPGGS Act </w:t>
                            </w:r>
                            <w:r w:rsidR="00D25FE3">
                              <w:t xml:space="preserve">by answering </w:t>
                            </w:r>
                            <w:r w:rsidR="004F3CF1">
                              <w:t>‘</w:t>
                            </w:r>
                            <w:r w:rsidR="00A9345C">
                              <w:t xml:space="preserve">Yes’ at </w:t>
                            </w:r>
                            <w:r w:rsidR="004F3CF1">
                              <w:t>section</w:t>
                            </w:r>
                            <w:r w:rsidR="00A9345C">
                              <w:t xml:space="preserve"> 1</w:t>
                            </w:r>
                            <w:r w:rsidR="00EF274F">
                              <w:t>1</w:t>
                            </w:r>
                            <w:r w:rsidR="004F3CF1" w:rsidRPr="004F3CF1">
                              <w:t xml:space="preserve"> </w:t>
                            </w:r>
                            <w:r w:rsidR="004F3CF1">
                              <w:t xml:space="preserve">of the </w:t>
                            </w:r>
                            <w:r w:rsidR="004F3CF1" w:rsidRPr="006D43E1">
                              <w:t>supplementary instrument</w:t>
                            </w:r>
                            <w:r w:rsidRPr="006D43E1">
                              <w:t>.</w:t>
                            </w:r>
                          </w:p>
                          <w:p w14:paraId="3E013CAC" w14:textId="338768E9" w:rsidR="00B41AB2" w:rsidRPr="006D43E1" w:rsidRDefault="00B41AB2" w:rsidP="00AC6350">
                            <w:pPr>
                              <w:pStyle w:val="ListParagraph"/>
                              <w:numPr>
                                <w:ilvl w:val="0"/>
                                <w:numId w:val="6"/>
                              </w:numPr>
                              <w:spacing w:before="120" w:after="0"/>
                              <w:ind w:left="850" w:hanging="357"/>
                              <w:jc w:val="left"/>
                            </w:pPr>
                            <w:r w:rsidRPr="006D43E1">
                              <w:t xml:space="preserve">Where the dealing does result in a change in title interest without requiring a Transfer of Title to effect that change - for example </w:t>
                            </w:r>
                            <w:r>
                              <w:t xml:space="preserve">an assignment of title interests </w:t>
                            </w:r>
                            <w:r w:rsidRPr="006D43E1">
                              <w:t xml:space="preserve">between existing titleholders – this should be indicated </w:t>
                            </w:r>
                            <w:r w:rsidR="004F3CF1">
                              <w:t>by answering ‘No’ at section 1</w:t>
                            </w:r>
                            <w:r w:rsidR="00F438FD">
                              <w:t>1</w:t>
                            </w:r>
                            <w:r w:rsidR="004F3CF1" w:rsidRPr="004F3CF1">
                              <w:t xml:space="preserve"> </w:t>
                            </w:r>
                            <w:r w:rsidR="004F3CF1">
                              <w:t xml:space="preserve">of the </w:t>
                            </w:r>
                            <w:r w:rsidR="004F3CF1" w:rsidRPr="006D43E1">
                              <w:t>supplementary instrument.</w:t>
                            </w:r>
                          </w:p>
                        </w:txbxContent>
                      </wps:txbx>
                      <wps:bodyPr rot="0" vert="horz" wrap="square" lIns="72000" tIns="36000" rIns="72000" bIns="36000" anchor="ctr" anchorCtr="0" upright="1">
                        <a:spAutoFit/>
                      </wps:bodyPr>
                    </wps:wsp>
                  </a:graphicData>
                </a:graphic>
              </wp:inline>
            </w:drawing>
          </mc:Choice>
          <mc:Fallback>
            <w:pict>
              <v:roundrect w14:anchorId="5C25064A" id="_x0000_s1035" style="width:237.15pt;height:478.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" fillcolor="#d9e2f3 [660]" strokecolor="#4472c4 [3204]" strokeweight="1pt">
                <v:stroke joinstyle="miter"/>
                <v:textbox style="mso-fit-shape-to-text:t" inset="2mm,1mm,2mm,1mm">
                  <w:txbxContent>
                    <w:p w14:paraId="7EFC88B6" w14:textId="77777777" w:rsidR="00B41AB2" w:rsidRPr="006D43E1" w:rsidRDefault="00B41AB2" w:rsidP="00F65D82">
                      <w:pPr>
                        <w:spacing w:before="0"/>
                        <w:ind w:left="567" w:hanging="425"/>
                        <w:rPr>
                          <w:b/>
                          <w:bCs/>
                          <w:lang w:eastAsia="en-AU"/>
                        </w:rPr>
                      </w:pPr>
                      <w:r w:rsidRPr="006D43E1">
                        <w:rPr>
                          <w:b/>
                          <w:bCs/>
                          <w:lang w:eastAsia="en-AU"/>
                        </w:rPr>
                        <w:t xml:space="preserve">Guidance note: </w:t>
                      </w:r>
                    </w:p>
                    <w:p w14:paraId="3915B8E3" w14:textId="77777777" w:rsidR="00B41AB2" w:rsidRPr="006D43E1" w:rsidRDefault="00B41AB2" w:rsidP="00F65D82">
                      <w:pPr>
                        <w:pStyle w:val="ListParagraph"/>
                        <w:numPr>
                          <w:ilvl w:val="0"/>
                          <w:numId w:val="6"/>
                        </w:numPr>
                        <w:spacing w:before="120" w:after="120"/>
                        <w:ind w:left="850" w:hanging="357"/>
                        <w:jc w:val="left"/>
                      </w:pPr>
                      <w:r w:rsidRPr="006D43E1">
                        <w:t xml:space="preserve">When completing this section, applicants should be mindful that not all dealings will directly result in a change in title interests. For example, a Sale and Purchase Agreement may ultimately lead to a change in title interests (on completion of any conditions precedent and execution of other relevant agreements), but </w:t>
                      </w:r>
                      <w:r w:rsidRPr="00BF2E2A">
                        <w:rPr>
                          <w:b/>
                          <w:bCs/>
                        </w:rPr>
                        <w:t>the change of interests will not occur</w:t>
                      </w:r>
                      <w:r w:rsidRPr="006D43E1">
                        <w:t xml:space="preserve"> until such time as a Transfer of Title is approved and registered.</w:t>
                      </w:r>
                    </w:p>
                    <w:p w14:paraId="11629F3B" w14:textId="77777777" w:rsidR="00B41AB2" w:rsidRPr="006D43E1" w:rsidRDefault="00B41AB2" w:rsidP="00F65D82">
                      <w:pPr>
                        <w:pStyle w:val="ListParagraph"/>
                        <w:numPr>
                          <w:ilvl w:val="0"/>
                          <w:numId w:val="6"/>
                        </w:numPr>
                        <w:spacing w:before="120" w:after="120"/>
                        <w:ind w:left="850" w:hanging="357"/>
                        <w:jc w:val="left"/>
                      </w:pPr>
                      <w:r w:rsidRPr="006D43E1">
                        <w:t>In such cases, the applicant may in this section of the supplementary instrument:</w:t>
                      </w:r>
                    </w:p>
                    <w:p w14:paraId="0F8347D8" w14:textId="77777777" w:rsidR="00B41AB2" w:rsidRPr="006D43E1" w:rsidRDefault="00B41AB2" w:rsidP="00F65D82">
                      <w:pPr>
                        <w:pStyle w:val="ListParagraph"/>
                        <w:numPr>
                          <w:ilvl w:val="1"/>
                          <w:numId w:val="6"/>
                        </w:numPr>
                        <w:spacing w:before="120" w:after="120"/>
                        <w:ind w:left="1418"/>
                        <w:jc w:val="left"/>
                      </w:pPr>
                      <w:r w:rsidRPr="006D43E1">
                        <w:t>show the title interests as remaining unchanged in the event of approval and registration of the dealing; or</w:t>
                      </w:r>
                    </w:p>
                    <w:p w14:paraId="3A67DFCB" w14:textId="48B6760A" w:rsidR="00B41AB2" w:rsidRPr="006D43E1" w:rsidRDefault="00B41AB2" w:rsidP="00F65D82">
                      <w:pPr>
                        <w:pStyle w:val="ListParagraph"/>
                        <w:numPr>
                          <w:ilvl w:val="1"/>
                          <w:numId w:val="6"/>
                        </w:numPr>
                        <w:spacing w:before="120" w:after="120"/>
                        <w:ind w:left="1418"/>
                        <w:jc w:val="left"/>
                      </w:pPr>
                      <w:r w:rsidRPr="006D43E1">
                        <w:t xml:space="preserve">set out the change in title interests that will eventuate, </w:t>
                      </w:r>
                      <w:r>
                        <w:t xml:space="preserve">and </w:t>
                      </w:r>
                      <w:r w:rsidR="00205EF1">
                        <w:t>indicate</w:t>
                      </w:r>
                      <w:r w:rsidRPr="006D43E1">
                        <w:t xml:space="preserve"> that those changes in title interests are conditional upon the future approval and registration of a </w:t>
                      </w:r>
                      <w:r w:rsidR="00D25FE3" w:rsidRPr="006D43E1">
                        <w:t xml:space="preserve">transfer of title </w:t>
                      </w:r>
                      <w:r w:rsidRPr="006D43E1">
                        <w:t xml:space="preserve">under part 4.3 </w:t>
                      </w:r>
                      <w:r w:rsidR="00A9345C">
                        <w:t xml:space="preserve">or </w:t>
                      </w:r>
                      <w:r w:rsidR="00D25FE3">
                        <w:t xml:space="preserve">part 5.3 </w:t>
                      </w:r>
                      <w:r w:rsidRPr="006D43E1">
                        <w:t xml:space="preserve">of the </w:t>
                      </w:r>
                      <w:r w:rsidR="0070581E">
                        <w:t xml:space="preserve">OPGGS Act </w:t>
                      </w:r>
                      <w:r w:rsidR="00D25FE3">
                        <w:t xml:space="preserve">by answering </w:t>
                      </w:r>
                      <w:r w:rsidR="004F3CF1">
                        <w:t>‘</w:t>
                      </w:r>
                      <w:r w:rsidR="00A9345C">
                        <w:t xml:space="preserve">Yes’ at </w:t>
                      </w:r>
                      <w:r w:rsidR="004F3CF1">
                        <w:t>section</w:t>
                      </w:r>
                      <w:r w:rsidR="00A9345C">
                        <w:t xml:space="preserve"> 1</w:t>
                      </w:r>
                      <w:r w:rsidR="00EF274F">
                        <w:t>1</w:t>
                      </w:r>
                      <w:r w:rsidR="004F3CF1" w:rsidRPr="004F3CF1">
                        <w:t xml:space="preserve"> </w:t>
                      </w:r>
                      <w:r w:rsidR="004F3CF1">
                        <w:t xml:space="preserve">of the </w:t>
                      </w:r>
                      <w:r w:rsidR="004F3CF1" w:rsidRPr="006D43E1">
                        <w:t>supplementary instrument</w:t>
                      </w:r>
                      <w:r w:rsidRPr="006D43E1">
                        <w:t>.</w:t>
                      </w:r>
                    </w:p>
                    <w:p w14:paraId="3E013CAC" w14:textId="338768E9" w:rsidR="00B41AB2" w:rsidRPr="006D43E1" w:rsidRDefault="00B41AB2" w:rsidP="00AC6350">
                      <w:pPr>
                        <w:pStyle w:val="ListParagraph"/>
                        <w:numPr>
                          <w:ilvl w:val="0"/>
                          <w:numId w:val="6"/>
                        </w:numPr>
                        <w:spacing w:before="120" w:after="0"/>
                        <w:ind w:left="850" w:hanging="357"/>
                        <w:jc w:val="left"/>
                      </w:pPr>
                      <w:r w:rsidRPr="006D43E1">
                        <w:t xml:space="preserve">Where the dealing does result in a change in title interest without requiring a Transfer of Title to effect that change - for example </w:t>
                      </w:r>
                      <w:r>
                        <w:t xml:space="preserve">an assignment of title interests </w:t>
                      </w:r>
                      <w:r w:rsidRPr="006D43E1">
                        <w:t xml:space="preserve">between existing titleholders – this should be indicated </w:t>
                      </w:r>
                      <w:r w:rsidR="004F3CF1">
                        <w:t>by answering ‘No’ at section 1</w:t>
                      </w:r>
                      <w:r w:rsidR="00F438FD">
                        <w:t>1</w:t>
                      </w:r>
                      <w:r w:rsidR="004F3CF1" w:rsidRPr="004F3CF1">
                        <w:t xml:space="preserve"> </w:t>
                      </w:r>
                      <w:r w:rsidR="004F3CF1">
                        <w:t xml:space="preserve">of the </w:t>
                      </w:r>
                      <w:r w:rsidR="004F3CF1" w:rsidRPr="006D43E1">
                        <w:t>supplementary instrument.</w:t>
                      </w:r>
                    </w:p>
                  </w:txbxContent>
                </v:textbox>
                <w10:anchorlock/>
              </v:roundrect>
            </w:pict>
          </mc:Fallback>
        </mc:AlternateContent>
      </w:r>
    </w:p>
    <w:p w14:paraId="37A057B8" w14:textId="47E99BE7" w:rsidR="004E5CF0" w:rsidRDefault="00CF6F44" w:rsidP="00134874">
      <w:pPr>
        <w:pStyle w:val="ListParagraph"/>
        <w:spacing w:after="120"/>
        <w:ind w:left="357" w:hanging="357"/>
        <w:contextualSpacing w:val="0"/>
      </w:pPr>
      <w:r w:rsidRPr="00CF6F44">
        <w:t>Has or will a transfer of title be submitted to give effect to the change in interests in the dealing</w:t>
      </w:r>
    </w:p>
    <w:p w14:paraId="15D3F11B" w14:textId="3D8459AE" w:rsidR="00103ABD" w:rsidRPr="00F65D82" w:rsidRDefault="0067193D" w:rsidP="00134874">
      <w:pPr>
        <w:pStyle w:val="ListParagraph"/>
        <w:numPr>
          <w:ilvl w:val="0"/>
          <w:numId w:val="0"/>
        </w:numPr>
        <w:spacing w:before="120"/>
        <w:ind w:left="357"/>
        <w:contextualSpacing w:val="0"/>
        <w:jc w:val="left"/>
      </w:pPr>
      <w:r w:rsidRPr="00495ABC">
        <w:rPr>
          <w:b/>
          <w:bCs/>
          <w:noProof/>
          <w:color w:val="FF0000"/>
        </w:rPr>
        <mc:AlternateContent>
          <mc:Choice Requires="wps">
            <w:drawing>
              <wp:inline distT="0" distB="0" distL="0" distR="0" wp14:anchorId="19712AD3" wp14:editId="63D7B296">
                <wp:extent cx="1056384" cy="6080721"/>
                <wp:effectExtent l="1587" t="0" r="14288" b="14287"/>
                <wp:docPr id="65255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56384" cy="6080721"/>
                        </a:xfrm>
                        <a:prstGeom prst="roundRect">
                          <a:avLst>
                            <a:gd name="adj" fmla="val 13032"/>
                          </a:avLst>
                        </a:prstGeom>
                        <a:solidFill>
                          <a:schemeClr val="accent1">
                            <a:lumMod val="20000"/>
                            <a:lumOff val="80000"/>
                          </a:schemeClr>
                        </a:solidFill>
                      </wps:spPr>
                      <wps:style>
                        <a:lnRef idx="2">
                          <a:schemeClr val="accent1"/>
                        </a:lnRef>
                        <a:fillRef idx="1">
                          <a:schemeClr val="lt1"/>
                        </a:fillRef>
                        <a:effectRef idx="0">
                          <a:schemeClr val="accent1"/>
                        </a:effectRef>
                        <a:fontRef idx="minor">
                          <a:schemeClr val="dk1"/>
                        </a:fontRef>
                      </wps:style>
                      <wps:txbx>
                        <w:txbxContent>
                          <w:p w14:paraId="05BB311D" w14:textId="77777777" w:rsidR="0067193D" w:rsidRPr="006D43E1" w:rsidRDefault="0067193D" w:rsidP="00F65D82">
                            <w:pPr>
                              <w:spacing w:before="0"/>
                              <w:ind w:left="567" w:hanging="425"/>
                              <w:rPr>
                                <w:b/>
                                <w:bCs/>
                                <w:lang w:eastAsia="en-AU"/>
                              </w:rPr>
                            </w:pPr>
                            <w:r w:rsidRPr="006D43E1">
                              <w:rPr>
                                <w:b/>
                                <w:bCs/>
                                <w:lang w:eastAsia="en-AU"/>
                              </w:rPr>
                              <w:t>Guidance note:</w:t>
                            </w:r>
                          </w:p>
                          <w:p w14:paraId="3D8B0EC7" w14:textId="74BC3AD9" w:rsidR="0067193D" w:rsidRPr="006D43E1" w:rsidRDefault="00A54B6B" w:rsidP="00AC6350">
                            <w:pPr>
                              <w:pStyle w:val="ListParagraph"/>
                              <w:numPr>
                                <w:ilvl w:val="0"/>
                                <w:numId w:val="6"/>
                              </w:numPr>
                              <w:spacing w:before="120" w:after="0"/>
                              <w:ind w:left="851"/>
                              <w:contextualSpacing w:val="0"/>
                              <w:jc w:val="left"/>
                            </w:pPr>
                            <w:r>
                              <w:t>T</w:t>
                            </w:r>
                            <w:r w:rsidR="008B6754">
                              <w:t>he applicant must indicate whether th</w:t>
                            </w:r>
                            <w:r>
                              <w:t xml:space="preserve">e interest after approval and registration of the dealing </w:t>
                            </w:r>
                            <w:r w:rsidRPr="006D43E1">
                              <w:t>are conditional upon the future approval and registration of a transfer of title</w:t>
                            </w:r>
                            <w:r>
                              <w:t>.</w:t>
                            </w:r>
                          </w:p>
                        </w:txbxContent>
                      </wps:txbx>
                      <wps:bodyPr rot="0" vert="horz" wrap="square" lIns="72000" tIns="36000" rIns="72000" bIns="36000" anchor="ctr" anchorCtr="0" upright="1">
                        <a:spAutoFit/>
                      </wps:bodyPr>
                    </wps:wsp>
                  </a:graphicData>
                </a:graphic>
              </wp:inline>
            </w:drawing>
          </mc:Choice>
          <mc:Fallback>
            <w:pict>
              <v:roundrect w14:anchorId="19712AD3" id="_x0000_s1036" style="width:83.2pt;height:478.8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" fillcolor="#d9e2f3 [660]" strokecolor="#4472c4 [3204]" strokeweight="1pt">
                <v:stroke joinstyle="miter"/>
                <v:textbox style="mso-fit-shape-to-text:t" inset="2mm,1mm,2mm,1mm">
                  <w:txbxContent>
                    <w:p w14:paraId="05BB311D" w14:textId="77777777" w:rsidR="0067193D" w:rsidRPr="006D43E1" w:rsidRDefault="0067193D" w:rsidP="00F65D82">
                      <w:pPr>
                        <w:spacing w:before="0"/>
                        <w:ind w:left="567" w:hanging="425"/>
                        <w:rPr>
                          <w:b/>
                          <w:bCs/>
                          <w:lang w:eastAsia="en-AU"/>
                        </w:rPr>
                      </w:pPr>
                      <w:r w:rsidRPr="006D43E1">
                        <w:rPr>
                          <w:b/>
                          <w:bCs/>
                          <w:lang w:eastAsia="en-AU"/>
                        </w:rPr>
                        <w:t>Guidance note:</w:t>
                      </w:r>
                    </w:p>
                    <w:p w14:paraId="3D8B0EC7" w14:textId="74BC3AD9" w:rsidR="0067193D" w:rsidRPr="006D43E1" w:rsidRDefault="00A54B6B" w:rsidP="00AC6350">
                      <w:pPr>
                        <w:pStyle w:val="ListParagraph"/>
                        <w:numPr>
                          <w:ilvl w:val="0"/>
                          <w:numId w:val="6"/>
                        </w:numPr>
                        <w:spacing w:before="120" w:after="0"/>
                        <w:ind w:left="851"/>
                        <w:contextualSpacing w:val="0"/>
                        <w:jc w:val="left"/>
                      </w:pPr>
                      <w:r>
                        <w:t>T</w:t>
                      </w:r>
                      <w:r w:rsidR="008B6754">
                        <w:t>he applicant must indicate whether th</w:t>
                      </w:r>
                      <w:r>
                        <w:t xml:space="preserve">e interest after approval and registration of the dealing </w:t>
                      </w:r>
                      <w:r w:rsidRPr="006D43E1">
                        <w:t>are conditional upon the future approval and registration of a transfer of title</w:t>
                      </w:r>
                      <w:r>
                        <w:t>.</w:t>
                      </w:r>
                    </w:p>
                  </w:txbxContent>
                </v:textbox>
                <w10:anchorlock/>
              </v:roundrect>
            </w:pict>
          </mc:Fallback>
        </mc:AlternateContent>
      </w:r>
    </w:p>
    <w:p w14:paraId="263A3FFE" w14:textId="5CB2A346" w:rsidR="00CF6F44" w:rsidRDefault="00CF6F44" w:rsidP="00134874">
      <w:pPr>
        <w:pStyle w:val="ListParagraph"/>
        <w:spacing w:after="120"/>
        <w:ind w:left="357" w:hanging="357"/>
        <w:contextualSpacing w:val="0"/>
        <w:jc w:val="left"/>
      </w:pPr>
      <w:r w:rsidRPr="00CF6F44">
        <w:t>Related dealings</w:t>
      </w:r>
    </w:p>
    <w:p w14:paraId="6E58EC67" w14:textId="7BE70870" w:rsidR="00ED4E38" w:rsidRPr="00830F06" w:rsidRDefault="006E7C96" w:rsidP="00134874">
      <w:pPr>
        <w:tabs>
          <w:tab w:val="left" w:pos="9923"/>
        </w:tabs>
        <w:spacing w:before="0" w:after="240"/>
        <w:ind w:left="357"/>
        <w:rPr>
          <w:color w:val="FF0000"/>
          <w:sz w:val="2"/>
          <w:szCs w:val="2"/>
          <w:lang w:eastAsia="en-AU"/>
        </w:rPr>
      </w:pPr>
      <w:r w:rsidRPr="00495ABC">
        <w:rPr>
          <w:b/>
          <w:bCs/>
          <w:noProof/>
          <w:lang w:eastAsia="en-AU"/>
        </w:rPr>
        <mc:AlternateContent>
          <mc:Choice Requires="wps">
            <w:drawing>
              <wp:inline distT="0" distB="0" distL="0" distR="0" wp14:anchorId="77D70230" wp14:editId="1531EBA8">
                <wp:extent cx="3281827" cy="6090857"/>
                <wp:effectExtent l="5080" t="0" r="19685" b="19685"/>
                <wp:docPr id="26761241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281827" cy="6090857"/>
                        </a:xfrm>
                        <a:prstGeom prst="roundRect">
                          <a:avLst>
                            <a:gd name="adj" fmla="val 13032"/>
                          </a:avLst>
                        </a:prstGeom>
                        <a:solidFill>
                          <a:schemeClr val="accent1">
                            <a:lumMod val="20000"/>
                            <a:lumOff val="80000"/>
                          </a:schemeClr>
                        </a:solidFill>
                      </wps:spPr>
                      <wps:style>
                        <a:lnRef idx="2">
                          <a:schemeClr val="accent1"/>
                        </a:lnRef>
                        <a:fillRef idx="1">
                          <a:schemeClr val="lt1"/>
                        </a:fillRef>
                        <a:effectRef idx="0">
                          <a:schemeClr val="accent1"/>
                        </a:effectRef>
                        <a:fontRef idx="minor">
                          <a:schemeClr val="dk1"/>
                        </a:fontRef>
                      </wps:style>
                      <wps:txbx>
                        <w:txbxContent>
                          <w:p w14:paraId="3A1C3AB7" w14:textId="77777777" w:rsidR="006E7C96" w:rsidRPr="006D43E1" w:rsidRDefault="006E7C96" w:rsidP="001370C4">
                            <w:pPr>
                              <w:spacing w:before="0" w:after="0"/>
                              <w:ind w:left="567" w:hanging="425"/>
                              <w:rPr>
                                <w:b/>
                                <w:bCs/>
                                <w:lang w:eastAsia="en-AU"/>
                              </w:rPr>
                            </w:pPr>
                            <w:r w:rsidRPr="006D43E1">
                              <w:rPr>
                                <w:b/>
                                <w:bCs/>
                                <w:lang w:eastAsia="en-AU"/>
                              </w:rPr>
                              <w:t>Guidance note:</w:t>
                            </w:r>
                          </w:p>
                          <w:p w14:paraId="50A64BBA" w14:textId="7C7F5457" w:rsidR="005C6D71" w:rsidRDefault="006D7174" w:rsidP="001370C4">
                            <w:pPr>
                              <w:pStyle w:val="ListParagraph"/>
                              <w:numPr>
                                <w:ilvl w:val="0"/>
                                <w:numId w:val="6"/>
                              </w:numPr>
                              <w:spacing w:before="0" w:after="0"/>
                              <w:ind w:left="850" w:hanging="357"/>
                              <w:contextualSpacing w:val="0"/>
                              <w:jc w:val="left"/>
                            </w:pPr>
                            <w:r>
                              <w:t xml:space="preserve">The applicant must </w:t>
                            </w:r>
                            <w:r w:rsidR="005C6D71">
                              <w:t xml:space="preserve">provide details of any related dealing </w:t>
                            </w:r>
                            <w:r w:rsidR="00417999" w:rsidRPr="00A60426">
                              <w:rPr>
                                <w:color w:val="595959" w:themeColor="text1" w:themeTint="A6"/>
                              </w:rPr>
                              <w:t>including dealing name, executed date, approved date and registration number (if any) and a brief description of how it is a related dealing</w:t>
                            </w:r>
                            <w:r w:rsidR="002E3CFD">
                              <w:rPr>
                                <w:color w:val="595959" w:themeColor="text1" w:themeTint="A6"/>
                              </w:rPr>
                              <w:t xml:space="preserve"> </w:t>
                            </w:r>
                            <w:r w:rsidR="002E3CFD" w:rsidRPr="006D43E1">
                              <w:t>(for example, “Sale and Purchase Agreement - Exploration Permit WA</w:t>
                            </w:r>
                            <w:r w:rsidR="002E3CFD" w:rsidRPr="006D43E1">
                              <w:noBreakHyphen/>
                            </w:r>
                            <w:r w:rsidR="002E3CFD">
                              <w:t>XXX</w:t>
                            </w:r>
                            <w:r w:rsidR="002E3CFD" w:rsidRPr="006D43E1">
                              <w:t>-P, dated 01/01/2020, which creates the right to enter into this Deed of Assignment and Assumption.”)</w:t>
                            </w:r>
                            <w:r w:rsidR="00417999" w:rsidRPr="002E3CFD">
                              <w:rPr>
                                <w:color w:val="595959" w:themeColor="text1" w:themeTint="A6"/>
                              </w:rPr>
                              <w:t>.</w:t>
                            </w:r>
                          </w:p>
                          <w:p w14:paraId="687FFF4E" w14:textId="77777777" w:rsidR="00754B85" w:rsidRDefault="00754B85" w:rsidP="001370C4">
                            <w:pPr>
                              <w:pStyle w:val="ListParagraph"/>
                              <w:numPr>
                                <w:ilvl w:val="0"/>
                                <w:numId w:val="32"/>
                              </w:numPr>
                              <w:spacing w:before="0" w:after="0"/>
                              <w:ind w:left="851"/>
                              <w:contextualSpacing w:val="0"/>
                              <w:jc w:val="left"/>
                              <w:rPr>
                                <w:color w:val="595959" w:themeColor="text1" w:themeTint="A6"/>
                              </w:rPr>
                            </w:pPr>
                            <w:r w:rsidRPr="00A60426">
                              <w:rPr>
                                <w:b/>
                                <w:bCs/>
                                <w:i/>
                                <w:iCs/>
                                <w:color w:val="595959" w:themeColor="text1" w:themeTint="A6"/>
                              </w:rPr>
                              <w:t>Related dealing</w:t>
                            </w:r>
                            <w:r w:rsidRPr="00A60426">
                              <w:rPr>
                                <w:color w:val="595959" w:themeColor="text1" w:themeTint="A6"/>
                              </w:rPr>
                              <w:t xml:space="preserve"> means a dealing executed, before the execution of the instrument evidencing the dealing, by some or all of the parties to that instrument: </w:t>
                            </w:r>
                          </w:p>
                          <w:p w14:paraId="1172447B" w14:textId="4C86767F" w:rsidR="00754B85" w:rsidRPr="00A60426" w:rsidRDefault="00754B85" w:rsidP="001370C4">
                            <w:pPr>
                              <w:pStyle w:val="ListParagraph"/>
                              <w:numPr>
                                <w:ilvl w:val="0"/>
                                <w:numId w:val="33"/>
                              </w:numPr>
                              <w:tabs>
                                <w:tab w:val="left" w:pos="2127"/>
                              </w:tabs>
                              <w:spacing w:before="0" w:after="0"/>
                              <w:ind w:left="1418" w:hanging="357"/>
                              <w:contextualSpacing w:val="0"/>
                              <w:jc w:val="left"/>
                              <w:rPr>
                                <w:color w:val="595959" w:themeColor="text1" w:themeTint="A6"/>
                              </w:rPr>
                            </w:pPr>
                            <w:r w:rsidRPr="00A60426">
                              <w:rPr>
                                <w:color w:val="595959" w:themeColor="text1" w:themeTint="A6"/>
                              </w:rPr>
                              <w:t>that affects the title which is the subject of the dealing to which the instrument relates; and</w:t>
                            </w:r>
                            <w:r w:rsidR="009B2B80">
                              <w:rPr>
                                <w:color w:val="595959" w:themeColor="text1" w:themeTint="A6"/>
                              </w:rPr>
                              <w:t xml:space="preserve"> </w:t>
                            </w:r>
                            <w:r w:rsidR="009B2B80" w:rsidRPr="00A60426">
                              <w:rPr>
                                <w:color w:val="595959" w:themeColor="text1" w:themeTint="A6"/>
                              </w:rPr>
                              <w:t>that</w:t>
                            </w:r>
                          </w:p>
                          <w:p w14:paraId="60F1E233" w14:textId="77777777" w:rsidR="00754B85" w:rsidRPr="00A60426" w:rsidRDefault="00754B85" w:rsidP="001370C4">
                            <w:pPr>
                              <w:pStyle w:val="ListParagraph"/>
                              <w:numPr>
                                <w:ilvl w:val="0"/>
                                <w:numId w:val="0"/>
                              </w:numPr>
                              <w:spacing w:before="0" w:after="0"/>
                              <w:ind w:left="1843"/>
                              <w:contextualSpacing w:val="0"/>
                              <w:jc w:val="left"/>
                              <w:rPr>
                                <w:color w:val="595959" w:themeColor="text1" w:themeTint="A6"/>
                              </w:rPr>
                            </w:pPr>
                            <w:r w:rsidRPr="00A60426">
                              <w:rPr>
                                <w:color w:val="595959" w:themeColor="text1" w:themeTint="A6"/>
                              </w:rPr>
                              <w:t>(i)</w:t>
                            </w:r>
                            <w:r w:rsidRPr="00A60426">
                              <w:rPr>
                                <w:color w:val="595959" w:themeColor="text1" w:themeTint="A6"/>
                              </w:rPr>
                              <w:tab/>
                              <w:t xml:space="preserve">creates or assigns an option to enter into the dealing; or </w:t>
                            </w:r>
                          </w:p>
                          <w:p w14:paraId="3A7FB48A" w14:textId="77777777" w:rsidR="00754B85" w:rsidRPr="00A60426" w:rsidRDefault="00754B85" w:rsidP="001370C4">
                            <w:pPr>
                              <w:pStyle w:val="ListParagraph"/>
                              <w:numPr>
                                <w:ilvl w:val="0"/>
                                <w:numId w:val="0"/>
                              </w:numPr>
                              <w:tabs>
                                <w:tab w:val="left" w:pos="284"/>
                              </w:tabs>
                              <w:spacing w:before="0" w:after="0"/>
                              <w:ind w:left="1843"/>
                              <w:contextualSpacing w:val="0"/>
                              <w:jc w:val="left"/>
                              <w:rPr>
                                <w:color w:val="595959" w:themeColor="text1" w:themeTint="A6"/>
                              </w:rPr>
                            </w:pPr>
                            <w:r w:rsidRPr="00A60426">
                              <w:rPr>
                                <w:color w:val="595959" w:themeColor="text1" w:themeTint="A6"/>
                              </w:rPr>
                              <w:t>(ii)</w:t>
                            </w:r>
                            <w:r w:rsidRPr="00A60426">
                              <w:rPr>
                                <w:color w:val="595959" w:themeColor="text1" w:themeTint="A6"/>
                              </w:rPr>
                              <w:tab/>
                              <w:t xml:space="preserve">creates or assigns a right to enter into the dealing; or </w:t>
                            </w:r>
                          </w:p>
                          <w:p w14:paraId="503DEF31" w14:textId="77777777" w:rsidR="00754B85" w:rsidRPr="008778A1" w:rsidRDefault="00754B85" w:rsidP="001370C4">
                            <w:pPr>
                              <w:pStyle w:val="ListParagraph"/>
                              <w:numPr>
                                <w:ilvl w:val="0"/>
                                <w:numId w:val="0"/>
                              </w:numPr>
                              <w:tabs>
                                <w:tab w:val="left" w:pos="284"/>
                              </w:tabs>
                              <w:spacing w:before="0" w:after="0"/>
                              <w:ind w:left="1843"/>
                              <w:contextualSpacing w:val="0"/>
                              <w:jc w:val="left"/>
                              <w:rPr>
                                <w:color w:val="595959" w:themeColor="text1" w:themeTint="A6"/>
                              </w:rPr>
                            </w:pPr>
                            <w:r w:rsidRPr="00A60426">
                              <w:rPr>
                                <w:color w:val="595959" w:themeColor="text1" w:themeTint="A6"/>
                              </w:rPr>
                              <w:t>(ii)</w:t>
                            </w:r>
                            <w:r w:rsidRPr="00A60426">
                              <w:rPr>
                                <w:color w:val="595959" w:themeColor="text1" w:themeTint="A6"/>
                              </w:rPr>
                              <w:tab/>
                            </w:r>
                            <w:r w:rsidRPr="008778A1">
                              <w:rPr>
                                <w:color w:val="595959" w:themeColor="text1" w:themeTint="A6"/>
                              </w:rPr>
                              <w:t xml:space="preserve">is altered or terminated by </w:t>
                            </w:r>
                            <w:r w:rsidRPr="00A60426">
                              <w:rPr>
                                <w:color w:val="595959" w:themeColor="text1" w:themeTint="A6"/>
                              </w:rPr>
                              <w:t>the</w:t>
                            </w:r>
                            <w:r w:rsidRPr="008778A1">
                              <w:rPr>
                                <w:color w:val="595959" w:themeColor="text1" w:themeTint="A6"/>
                              </w:rPr>
                              <w:t xml:space="preserve"> dealing;</w:t>
                            </w:r>
                          </w:p>
                          <w:p w14:paraId="730E1B91" w14:textId="77777777" w:rsidR="00754B85" w:rsidRDefault="00754B85" w:rsidP="001370C4">
                            <w:pPr>
                              <w:pStyle w:val="ListParagraph"/>
                              <w:numPr>
                                <w:ilvl w:val="0"/>
                                <w:numId w:val="0"/>
                              </w:numPr>
                              <w:spacing w:before="0" w:after="0"/>
                              <w:ind w:left="1418"/>
                              <w:contextualSpacing w:val="0"/>
                              <w:jc w:val="left"/>
                              <w:rPr>
                                <w:color w:val="595959" w:themeColor="text1" w:themeTint="A6"/>
                              </w:rPr>
                            </w:pPr>
                            <w:r w:rsidRPr="00A60426">
                              <w:rPr>
                                <w:color w:val="595959" w:themeColor="text1" w:themeTint="A6"/>
                              </w:rPr>
                              <w:t>and includes any transaction in respect of which an instrument was registered under section 81 of the </w:t>
                            </w:r>
                            <w:r w:rsidRPr="00A60426">
                              <w:rPr>
                                <w:i/>
                                <w:iCs/>
                                <w:color w:val="595959" w:themeColor="text1" w:themeTint="A6"/>
                              </w:rPr>
                              <w:t>Petroleum (Submerged Lands) Act 1967 </w:t>
                            </w:r>
                            <w:r w:rsidRPr="00A60426">
                              <w:rPr>
                                <w:color w:val="595959" w:themeColor="text1" w:themeTint="A6"/>
                              </w:rPr>
                              <w:t>before 22 July 1985.</w:t>
                            </w:r>
                          </w:p>
                          <w:p w14:paraId="68055ADD" w14:textId="206FABEA" w:rsidR="006E7C96" w:rsidRPr="007C0379" w:rsidRDefault="002E3CFD" w:rsidP="001370C4">
                            <w:pPr>
                              <w:pStyle w:val="ListParagraph"/>
                              <w:numPr>
                                <w:ilvl w:val="0"/>
                                <w:numId w:val="6"/>
                              </w:numPr>
                              <w:spacing w:before="0" w:after="0"/>
                              <w:ind w:left="850" w:hanging="357"/>
                              <w:contextualSpacing w:val="0"/>
                              <w:jc w:val="left"/>
                            </w:pPr>
                            <w:r w:rsidRPr="00BF2E2A">
                              <w:rPr>
                                <w:color w:val="595959" w:themeColor="text1" w:themeTint="A6"/>
                              </w:rPr>
                              <w:t>Ensure that all related dealings have been registered against the title or that an application for approval has been lodged.</w:t>
                            </w:r>
                            <w:r w:rsidR="006E7C96" w:rsidRPr="007C0379">
                              <w:t xml:space="preserve"> </w:t>
                            </w:r>
                          </w:p>
                          <w:p w14:paraId="307BCF11" w14:textId="77777777" w:rsidR="006E7C96" w:rsidRDefault="006E7C96" w:rsidP="001370C4">
                            <w:pPr>
                              <w:pStyle w:val="ListParagraph"/>
                              <w:numPr>
                                <w:ilvl w:val="0"/>
                                <w:numId w:val="6"/>
                              </w:numPr>
                              <w:spacing w:before="0" w:after="0"/>
                              <w:ind w:left="850" w:hanging="357"/>
                              <w:contextualSpacing w:val="0"/>
                              <w:jc w:val="left"/>
                            </w:pPr>
                            <w:r w:rsidRPr="007C0379">
                              <w:t>Relating dealings are those which</w:t>
                            </w:r>
                            <w:r>
                              <w:t xml:space="preserve"> are registered on the same title.</w:t>
                            </w:r>
                          </w:p>
                          <w:p w14:paraId="1AC473D2" w14:textId="3E49827E" w:rsidR="00A41CCF" w:rsidRPr="006D43E1" w:rsidRDefault="00A41CCF" w:rsidP="001370C4">
                            <w:pPr>
                              <w:pStyle w:val="ListParagraph"/>
                              <w:numPr>
                                <w:ilvl w:val="0"/>
                                <w:numId w:val="6"/>
                              </w:numPr>
                              <w:spacing w:before="0" w:after="0"/>
                              <w:ind w:left="850" w:hanging="357"/>
                              <w:contextualSpacing w:val="0"/>
                              <w:jc w:val="left"/>
                            </w:pPr>
                            <w:r>
                              <w:rPr>
                                <w:color w:val="595959" w:themeColor="text1" w:themeTint="A6"/>
                              </w:rPr>
                              <w:t>A</w:t>
                            </w:r>
                            <w:r w:rsidRPr="00A60426">
                              <w:rPr>
                                <w:color w:val="595959" w:themeColor="text1" w:themeTint="A6"/>
                              </w:rPr>
                              <w:t xml:space="preserve"> dealing executed, before the execution of the instrument evidencing the dealing</w:t>
                            </w:r>
                            <w:r>
                              <w:rPr>
                                <w:color w:val="595959" w:themeColor="text1" w:themeTint="A6"/>
                              </w:rPr>
                              <w:t xml:space="preserve"> </w:t>
                            </w:r>
                            <w:r w:rsidR="00365C6E">
                              <w:rPr>
                                <w:color w:val="595959" w:themeColor="text1" w:themeTint="A6"/>
                              </w:rPr>
                              <w:t>can include a dealing executed on the same day</w:t>
                            </w:r>
                            <w:r w:rsidR="001370C4">
                              <w:rPr>
                                <w:color w:val="595959" w:themeColor="text1" w:themeTint="A6"/>
                              </w:rPr>
                              <w:t>.</w:t>
                            </w:r>
                          </w:p>
                        </w:txbxContent>
                      </wps:txbx>
                      <wps:bodyPr rot="0" vert="horz" wrap="square" lIns="72000" tIns="36000" rIns="72000" bIns="36000" anchor="ctr" anchorCtr="0" upright="1">
                        <a:spAutoFit/>
                      </wps:bodyPr>
                    </wps:wsp>
                  </a:graphicData>
                </a:graphic>
              </wp:inline>
            </w:drawing>
          </mc:Choice>
          <mc:Fallback>
            <w:pict>
              <v:roundrect w14:anchorId="77D70230" id="_x0000_s1037" style="width:258.4pt;height:479.6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" fillcolor="#d9e2f3 [660]" strokecolor="#4472c4 [3204]" strokeweight="1pt">
                <v:stroke joinstyle="miter"/>
                <v:textbox style="mso-fit-shape-to-text:t" inset="2mm,1mm,2mm,1mm">
                  <w:txbxContent>
                    <w:p w14:paraId="3A1C3AB7" w14:textId="77777777" w:rsidR="006E7C96" w:rsidRPr="006D43E1" w:rsidRDefault="006E7C96" w:rsidP="001370C4">
                      <w:pPr>
                        <w:spacing w:before="0" w:after="0"/>
                        <w:ind w:left="567" w:hanging="425"/>
                        <w:rPr>
                          <w:b/>
                          <w:bCs/>
                          <w:lang w:eastAsia="en-AU"/>
                        </w:rPr>
                      </w:pPr>
                      <w:r w:rsidRPr="006D43E1">
                        <w:rPr>
                          <w:b/>
                          <w:bCs/>
                          <w:lang w:eastAsia="en-AU"/>
                        </w:rPr>
                        <w:t>Guidance note:</w:t>
                      </w:r>
                    </w:p>
                    <w:p w14:paraId="50A64BBA" w14:textId="7C7F5457" w:rsidR="005C6D71" w:rsidRDefault="006D7174" w:rsidP="001370C4">
                      <w:pPr>
                        <w:pStyle w:val="ListParagraph"/>
                        <w:numPr>
                          <w:ilvl w:val="0"/>
                          <w:numId w:val="6"/>
                        </w:numPr>
                        <w:spacing w:before="0" w:after="0"/>
                        <w:ind w:left="850" w:hanging="357"/>
                        <w:contextualSpacing w:val="0"/>
                        <w:jc w:val="left"/>
                      </w:pPr>
                      <w:r>
                        <w:t xml:space="preserve">The applicant must </w:t>
                      </w:r>
                      <w:r w:rsidR="005C6D71">
                        <w:t xml:space="preserve">provide details of any related dealing </w:t>
                      </w:r>
                      <w:r w:rsidR="00417999" w:rsidRPr="00A60426">
                        <w:rPr>
                          <w:color w:val="595959" w:themeColor="text1" w:themeTint="A6"/>
                        </w:rPr>
                        <w:t>including dealing name, executed date, approved date and registration number (if any) and a brief description of how it is a related dealing</w:t>
                      </w:r>
                      <w:r w:rsidR="002E3CFD">
                        <w:rPr>
                          <w:color w:val="595959" w:themeColor="text1" w:themeTint="A6"/>
                        </w:rPr>
                        <w:t xml:space="preserve"> </w:t>
                      </w:r>
                      <w:r w:rsidR="002E3CFD" w:rsidRPr="006D43E1">
                        <w:t>(for example, “Sale and Purchase Agreement - Exploration Permit WA</w:t>
                      </w:r>
                      <w:r w:rsidR="002E3CFD" w:rsidRPr="006D43E1">
                        <w:noBreakHyphen/>
                      </w:r>
                      <w:r w:rsidR="002E3CFD">
                        <w:t>XXX</w:t>
                      </w:r>
                      <w:r w:rsidR="002E3CFD" w:rsidRPr="006D43E1">
                        <w:t>-P, dated 01/01/2020, which creates the right to enter into this Deed of Assignment and Assumption.”)</w:t>
                      </w:r>
                      <w:r w:rsidR="00417999" w:rsidRPr="002E3CFD">
                        <w:rPr>
                          <w:color w:val="595959" w:themeColor="text1" w:themeTint="A6"/>
                        </w:rPr>
                        <w:t>.</w:t>
                      </w:r>
                    </w:p>
                    <w:p w14:paraId="687FFF4E" w14:textId="77777777" w:rsidR="00754B85" w:rsidRDefault="00754B85" w:rsidP="001370C4">
                      <w:pPr>
                        <w:pStyle w:val="ListParagraph"/>
                        <w:numPr>
                          <w:ilvl w:val="0"/>
                          <w:numId w:val="32"/>
                        </w:numPr>
                        <w:spacing w:before="0" w:after="0"/>
                        <w:ind w:left="851"/>
                        <w:contextualSpacing w:val="0"/>
                        <w:jc w:val="left"/>
                        <w:rPr>
                          <w:color w:val="595959" w:themeColor="text1" w:themeTint="A6"/>
                        </w:rPr>
                      </w:pPr>
                      <w:r w:rsidRPr="00A60426">
                        <w:rPr>
                          <w:b/>
                          <w:bCs/>
                          <w:i/>
                          <w:iCs/>
                          <w:color w:val="595959" w:themeColor="text1" w:themeTint="A6"/>
                        </w:rPr>
                        <w:t>Related dealing</w:t>
                      </w:r>
                      <w:r w:rsidRPr="00A60426">
                        <w:rPr>
                          <w:color w:val="595959" w:themeColor="text1" w:themeTint="A6"/>
                        </w:rPr>
                        <w:t xml:space="preserve"> means a dealing executed, before the execution of the instrument evidencing the dealing, by some or all of the parties to that instrument: </w:t>
                      </w:r>
                    </w:p>
                    <w:p w14:paraId="1172447B" w14:textId="4C86767F" w:rsidR="00754B85" w:rsidRPr="00A60426" w:rsidRDefault="00754B85" w:rsidP="001370C4">
                      <w:pPr>
                        <w:pStyle w:val="ListParagraph"/>
                        <w:numPr>
                          <w:ilvl w:val="0"/>
                          <w:numId w:val="33"/>
                        </w:numPr>
                        <w:tabs>
                          <w:tab w:val="left" w:pos="2127"/>
                        </w:tabs>
                        <w:spacing w:before="0" w:after="0"/>
                        <w:ind w:left="1418" w:hanging="357"/>
                        <w:contextualSpacing w:val="0"/>
                        <w:jc w:val="left"/>
                        <w:rPr>
                          <w:color w:val="595959" w:themeColor="text1" w:themeTint="A6"/>
                        </w:rPr>
                      </w:pPr>
                      <w:r w:rsidRPr="00A60426">
                        <w:rPr>
                          <w:color w:val="595959" w:themeColor="text1" w:themeTint="A6"/>
                        </w:rPr>
                        <w:t>that affects the title which is the subject of the dealing to which the instrument relates; and</w:t>
                      </w:r>
                      <w:r w:rsidR="009B2B80">
                        <w:rPr>
                          <w:color w:val="595959" w:themeColor="text1" w:themeTint="A6"/>
                        </w:rPr>
                        <w:t xml:space="preserve"> </w:t>
                      </w:r>
                      <w:r w:rsidR="009B2B80" w:rsidRPr="00A60426">
                        <w:rPr>
                          <w:color w:val="595959" w:themeColor="text1" w:themeTint="A6"/>
                        </w:rPr>
                        <w:t>that</w:t>
                      </w:r>
                    </w:p>
                    <w:p w14:paraId="60F1E233" w14:textId="77777777" w:rsidR="00754B85" w:rsidRPr="00A60426" w:rsidRDefault="00754B85" w:rsidP="001370C4">
                      <w:pPr>
                        <w:pStyle w:val="ListParagraph"/>
                        <w:numPr>
                          <w:ilvl w:val="0"/>
                          <w:numId w:val="0"/>
                        </w:numPr>
                        <w:spacing w:before="0" w:after="0"/>
                        <w:ind w:left="1843"/>
                        <w:contextualSpacing w:val="0"/>
                        <w:jc w:val="left"/>
                        <w:rPr>
                          <w:color w:val="595959" w:themeColor="text1" w:themeTint="A6"/>
                        </w:rPr>
                      </w:pPr>
                      <w:r w:rsidRPr="00A60426">
                        <w:rPr>
                          <w:color w:val="595959" w:themeColor="text1" w:themeTint="A6"/>
                        </w:rPr>
                        <w:t>(i)</w:t>
                      </w:r>
                      <w:r w:rsidRPr="00A60426">
                        <w:rPr>
                          <w:color w:val="595959" w:themeColor="text1" w:themeTint="A6"/>
                        </w:rPr>
                        <w:tab/>
                        <w:t xml:space="preserve">creates or assigns an option to enter into the dealing; or </w:t>
                      </w:r>
                    </w:p>
                    <w:p w14:paraId="3A7FB48A" w14:textId="77777777" w:rsidR="00754B85" w:rsidRPr="00A60426" w:rsidRDefault="00754B85" w:rsidP="001370C4">
                      <w:pPr>
                        <w:pStyle w:val="ListParagraph"/>
                        <w:numPr>
                          <w:ilvl w:val="0"/>
                          <w:numId w:val="0"/>
                        </w:numPr>
                        <w:tabs>
                          <w:tab w:val="left" w:pos="284"/>
                        </w:tabs>
                        <w:spacing w:before="0" w:after="0"/>
                        <w:ind w:left="1843"/>
                        <w:contextualSpacing w:val="0"/>
                        <w:jc w:val="left"/>
                        <w:rPr>
                          <w:color w:val="595959" w:themeColor="text1" w:themeTint="A6"/>
                        </w:rPr>
                      </w:pPr>
                      <w:r w:rsidRPr="00A60426">
                        <w:rPr>
                          <w:color w:val="595959" w:themeColor="text1" w:themeTint="A6"/>
                        </w:rPr>
                        <w:t>(ii)</w:t>
                      </w:r>
                      <w:r w:rsidRPr="00A60426">
                        <w:rPr>
                          <w:color w:val="595959" w:themeColor="text1" w:themeTint="A6"/>
                        </w:rPr>
                        <w:tab/>
                        <w:t xml:space="preserve">creates or assigns a right to enter into the dealing; or </w:t>
                      </w:r>
                    </w:p>
                    <w:p w14:paraId="503DEF31" w14:textId="77777777" w:rsidR="00754B85" w:rsidRPr="008778A1" w:rsidRDefault="00754B85" w:rsidP="001370C4">
                      <w:pPr>
                        <w:pStyle w:val="ListParagraph"/>
                        <w:numPr>
                          <w:ilvl w:val="0"/>
                          <w:numId w:val="0"/>
                        </w:numPr>
                        <w:tabs>
                          <w:tab w:val="left" w:pos="284"/>
                        </w:tabs>
                        <w:spacing w:before="0" w:after="0"/>
                        <w:ind w:left="1843"/>
                        <w:contextualSpacing w:val="0"/>
                        <w:jc w:val="left"/>
                        <w:rPr>
                          <w:color w:val="595959" w:themeColor="text1" w:themeTint="A6"/>
                        </w:rPr>
                      </w:pPr>
                      <w:r w:rsidRPr="00A60426">
                        <w:rPr>
                          <w:color w:val="595959" w:themeColor="text1" w:themeTint="A6"/>
                        </w:rPr>
                        <w:t>(ii)</w:t>
                      </w:r>
                      <w:r w:rsidRPr="00A60426">
                        <w:rPr>
                          <w:color w:val="595959" w:themeColor="text1" w:themeTint="A6"/>
                        </w:rPr>
                        <w:tab/>
                      </w:r>
                      <w:r w:rsidRPr="008778A1">
                        <w:rPr>
                          <w:color w:val="595959" w:themeColor="text1" w:themeTint="A6"/>
                        </w:rPr>
                        <w:t xml:space="preserve">is altered or terminated by </w:t>
                      </w:r>
                      <w:r w:rsidRPr="00A60426">
                        <w:rPr>
                          <w:color w:val="595959" w:themeColor="text1" w:themeTint="A6"/>
                        </w:rPr>
                        <w:t>the</w:t>
                      </w:r>
                      <w:r w:rsidRPr="008778A1">
                        <w:rPr>
                          <w:color w:val="595959" w:themeColor="text1" w:themeTint="A6"/>
                        </w:rPr>
                        <w:t xml:space="preserve"> dealing;</w:t>
                      </w:r>
                    </w:p>
                    <w:p w14:paraId="730E1B91" w14:textId="77777777" w:rsidR="00754B85" w:rsidRDefault="00754B85" w:rsidP="001370C4">
                      <w:pPr>
                        <w:pStyle w:val="ListParagraph"/>
                        <w:numPr>
                          <w:ilvl w:val="0"/>
                          <w:numId w:val="0"/>
                        </w:numPr>
                        <w:spacing w:before="0" w:after="0"/>
                        <w:ind w:left="1418"/>
                        <w:contextualSpacing w:val="0"/>
                        <w:jc w:val="left"/>
                        <w:rPr>
                          <w:color w:val="595959" w:themeColor="text1" w:themeTint="A6"/>
                        </w:rPr>
                      </w:pPr>
                      <w:r w:rsidRPr="00A60426">
                        <w:rPr>
                          <w:color w:val="595959" w:themeColor="text1" w:themeTint="A6"/>
                        </w:rPr>
                        <w:t>and includes any transaction in respect of which an instrument was registered under section 81 of the </w:t>
                      </w:r>
                      <w:r w:rsidRPr="00A60426">
                        <w:rPr>
                          <w:i/>
                          <w:iCs/>
                          <w:color w:val="595959" w:themeColor="text1" w:themeTint="A6"/>
                        </w:rPr>
                        <w:t>Petroleum (Submerged Lands) Act 1967 </w:t>
                      </w:r>
                      <w:r w:rsidRPr="00A60426">
                        <w:rPr>
                          <w:color w:val="595959" w:themeColor="text1" w:themeTint="A6"/>
                        </w:rPr>
                        <w:t>before 22 July 1985.</w:t>
                      </w:r>
                    </w:p>
                    <w:p w14:paraId="68055ADD" w14:textId="206FABEA" w:rsidR="006E7C96" w:rsidRPr="007C0379" w:rsidRDefault="002E3CFD" w:rsidP="001370C4">
                      <w:pPr>
                        <w:pStyle w:val="ListParagraph"/>
                        <w:numPr>
                          <w:ilvl w:val="0"/>
                          <w:numId w:val="6"/>
                        </w:numPr>
                        <w:spacing w:before="0" w:after="0"/>
                        <w:ind w:left="850" w:hanging="357"/>
                        <w:contextualSpacing w:val="0"/>
                        <w:jc w:val="left"/>
                      </w:pPr>
                      <w:r w:rsidRPr="00BF2E2A">
                        <w:rPr>
                          <w:color w:val="595959" w:themeColor="text1" w:themeTint="A6"/>
                        </w:rPr>
                        <w:t>Ensure that all related dealings have been registered against the title or that an application for approval has been lodged.</w:t>
                      </w:r>
                      <w:r w:rsidR="006E7C96" w:rsidRPr="007C0379">
                        <w:t xml:space="preserve"> </w:t>
                      </w:r>
                    </w:p>
                    <w:p w14:paraId="307BCF11" w14:textId="77777777" w:rsidR="006E7C96" w:rsidRDefault="006E7C96" w:rsidP="001370C4">
                      <w:pPr>
                        <w:pStyle w:val="ListParagraph"/>
                        <w:numPr>
                          <w:ilvl w:val="0"/>
                          <w:numId w:val="6"/>
                        </w:numPr>
                        <w:spacing w:before="0" w:after="0"/>
                        <w:ind w:left="850" w:hanging="357"/>
                        <w:contextualSpacing w:val="0"/>
                        <w:jc w:val="left"/>
                      </w:pPr>
                      <w:r w:rsidRPr="007C0379">
                        <w:t>Relating dealings are those which</w:t>
                      </w:r>
                      <w:r>
                        <w:t xml:space="preserve"> are registered on the same title.</w:t>
                      </w:r>
                    </w:p>
                    <w:p w14:paraId="1AC473D2" w14:textId="3E49827E" w:rsidR="00A41CCF" w:rsidRPr="006D43E1" w:rsidRDefault="00A41CCF" w:rsidP="001370C4">
                      <w:pPr>
                        <w:pStyle w:val="ListParagraph"/>
                        <w:numPr>
                          <w:ilvl w:val="0"/>
                          <w:numId w:val="6"/>
                        </w:numPr>
                        <w:spacing w:before="0" w:after="0"/>
                        <w:ind w:left="850" w:hanging="357"/>
                        <w:contextualSpacing w:val="0"/>
                        <w:jc w:val="left"/>
                      </w:pPr>
                      <w:r>
                        <w:rPr>
                          <w:color w:val="595959" w:themeColor="text1" w:themeTint="A6"/>
                        </w:rPr>
                        <w:t>A</w:t>
                      </w:r>
                      <w:r w:rsidRPr="00A60426">
                        <w:rPr>
                          <w:color w:val="595959" w:themeColor="text1" w:themeTint="A6"/>
                        </w:rPr>
                        <w:t xml:space="preserve"> dealing executed, before the execution of the instrument evidencing the dealing</w:t>
                      </w:r>
                      <w:r>
                        <w:rPr>
                          <w:color w:val="595959" w:themeColor="text1" w:themeTint="A6"/>
                        </w:rPr>
                        <w:t xml:space="preserve"> </w:t>
                      </w:r>
                      <w:r w:rsidR="00365C6E">
                        <w:rPr>
                          <w:color w:val="595959" w:themeColor="text1" w:themeTint="A6"/>
                        </w:rPr>
                        <w:t>can include a dealing executed on the same day</w:t>
                      </w:r>
                      <w:r w:rsidR="001370C4">
                        <w:rPr>
                          <w:color w:val="595959" w:themeColor="text1" w:themeTint="A6"/>
                        </w:rPr>
                        <w:t>.</w:t>
                      </w:r>
                    </w:p>
                  </w:txbxContent>
                </v:textbox>
                <w10:anchorlock/>
              </v:roundrect>
            </w:pict>
          </mc:Fallback>
        </mc:AlternateContent>
      </w:r>
    </w:p>
    <w:bookmarkEnd w:id="1"/>
    <w:p w14:paraId="246F90CB" w14:textId="4FDDC1A4" w:rsidR="00CE40B4" w:rsidRPr="00B4380E" w:rsidRDefault="00CE40B4" w:rsidP="00F65D82">
      <w:pPr>
        <w:spacing w:before="0" w:after="0"/>
        <w:ind w:left="924" w:hanging="567"/>
        <w:rPr>
          <w:sz w:val="2"/>
          <w:szCs w:val="4"/>
        </w:rPr>
      </w:pPr>
    </w:p>
    <w:sectPr w:rsidR="00CE40B4" w:rsidRPr="00B4380E" w:rsidSect="00FB6526">
      <w:type w:val="continuous"/>
      <w:pgSz w:w="11906" w:h="16838"/>
      <w:pgMar w:top="2552" w:right="851" w:bottom="851" w:left="851"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53446" w14:textId="77777777" w:rsidR="00177943" w:rsidRDefault="00177943" w:rsidP="00C83270">
      <w:pPr>
        <w:spacing w:before="0" w:after="0"/>
      </w:pPr>
      <w:r>
        <w:separator/>
      </w:r>
    </w:p>
  </w:endnote>
  <w:endnote w:type="continuationSeparator" w:id="0">
    <w:p w14:paraId="07B8B920" w14:textId="77777777" w:rsidR="00177943" w:rsidRDefault="00177943" w:rsidP="00C8327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D0B7D" w14:textId="77777777" w:rsidR="00363B0D" w:rsidRDefault="00363B0D">
    <w:pPr>
      <w:pStyle w:val="Footer"/>
    </w:pPr>
    <w:r>
      <w:rPr>
        <w:noProof/>
      </w:rPr>
      <mc:AlternateContent>
        <mc:Choice Requires="wps">
          <w:drawing>
            <wp:anchor distT="0" distB="0" distL="0" distR="0" simplePos="0" relativeHeight="251658246" behindDoc="0" locked="0" layoutInCell="1" allowOverlap="1" wp14:anchorId="4603CD2A" wp14:editId="1AE2A644">
              <wp:simplePos x="635" y="635"/>
              <wp:positionH relativeFrom="column">
                <wp:align>center</wp:align>
              </wp:positionH>
              <wp:positionV relativeFrom="paragraph">
                <wp:posOffset>635</wp:posOffset>
              </wp:positionV>
              <wp:extent cx="443865" cy="443865"/>
              <wp:effectExtent l="0" t="0" r="18415" b="10795"/>
              <wp:wrapSquare wrapText="bothSides"/>
              <wp:docPr id="11"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33DFCF" w14:textId="77777777" w:rsidR="00363B0D" w:rsidRPr="00AE1C7B" w:rsidRDefault="00363B0D">
                          <w:pPr>
                            <w:rPr>
                              <w:rFonts w:ascii="Arial" w:eastAsia="Arial" w:hAnsi="Arial" w:cs="Arial"/>
                              <w:color w:val="FF0000"/>
                            </w:rPr>
                          </w:pPr>
                          <w:r w:rsidRPr="00AE1C7B">
                            <w:rPr>
                              <w:rFonts w:ascii="Arial" w:eastAsia="Arial" w:hAnsi="Arial" w:cs="Arial"/>
                              <w:color w:val="FF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603CD2A" id="_x0000_t202" coordsize="21600,21600" o:spt="202" path="m,l,21600r21600,l21600,xe">
              <v:stroke joinstyle="miter"/>
              <v:path gradientshapeok="t" o:connecttype="rect"/>
            </v:shapetype>
            <v:shape id="Text Box 11" o:spid="_x0000_s1039" type="#_x0000_t202" alt="OFFICIAL" style="position:absolute;margin-left:0;margin-top:.05pt;width:34.95pt;height:34.95pt;z-index:25165824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6F33DFCF" w14:textId="77777777" w:rsidR="00363B0D" w:rsidRPr="00AE1C7B" w:rsidRDefault="00363B0D">
                    <w:pPr>
                      <w:rPr>
                        <w:rFonts w:ascii="Arial" w:eastAsia="Arial" w:hAnsi="Arial" w:cs="Arial"/>
                        <w:color w:val="FF0000"/>
                      </w:rPr>
                    </w:pPr>
                    <w:r w:rsidRPr="00AE1C7B">
                      <w:rPr>
                        <w:rFonts w:ascii="Arial" w:eastAsia="Arial" w:hAnsi="Arial" w:cs="Arial"/>
                        <w:color w:val="FF0000"/>
                      </w:rPr>
                      <w:t>OFFICIAL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A3D79" w14:textId="1AC10EDC" w:rsidR="00363B0D" w:rsidRDefault="00363B0D" w:rsidP="006F5B8D">
    <w:pPr>
      <w:pStyle w:val="Footer"/>
      <w:tabs>
        <w:tab w:val="clear" w:pos="4513"/>
        <w:tab w:val="clear" w:pos="9026"/>
        <w:tab w:val="left" w:pos="0"/>
        <w:tab w:val="center" w:pos="4860"/>
        <w:tab w:val="right" w:pos="10204"/>
      </w:tabs>
      <w:spacing w:before="0" w:after="0"/>
      <w:jc w:val="center"/>
    </w:pPr>
    <w:r w:rsidRPr="00FF29A1">
      <w:rPr>
        <w:noProof/>
        <w:lang w:eastAsia="en-AU"/>
      </w:rPr>
      <mc:AlternateContent>
        <mc:Choice Requires="wps">
          <w:drawing>
            <wp:anchor distT="0" distB="0" distL="114300" distR="114300" simplePos="0" relativeHeight="251658241" behindDoc="0" locked="0" layoutInCell="1" allowOverlap="1" wp14:anchorId="041148A9" wp14:editId="4B5C3A5C">
              <wp:simplePos x="0" y="0"/>
              <wp:positionH relativeFrom="margin">
                <wp:posOffset>-5995</wp:posOffset>
              </wp:positionH>
              <wp:positionV relativeFrom="paragraph">
                <wp:posOffset>-87424</wp:posOffset>
              </wp:positionV>
              <wp:extent cx="6495802" cy="0"/>
              <wp:effectExtent l="0" t="0" r="0" b="0"/>
              <wp:wrapNone/>
              <wp:docPr id="1" name="Lin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5802" cy="0"/>
                      </a:xfrm>
                      <a:prstGeom prst="line">
                        <a:avLst/>
                      </a:prstGeom>
                      <a:ln>
                        <a:headEnd/>
                        <a:tailEnd/>
                      </a:ln>
                    </wps:spPr>
                    <wps:style>
                      <a:lnRef idx="3">
                        <a:schemeClr val="accent5"/>
                      </a:lnRef>
                      <a:fillRef idx="0">
                        <a:schemeClr val="accent5"/>
                      </a:fillRef>
                      <a:effectRef idx="2">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913FF0D" id="Line 4" o:spid="_x0000_s1026" alt="&quot;&quot;"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5pt,-6.9pt" to="511.0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" strokecolor="#5b9bd5 [3208]" strokeweight="1.5pt">
              <v:stroke joinstyle="miter"/>
              <w10:wrap anchorx="margin"/>
            </v:line>
          </w:pict>
        </mc:Fallback>
      </mc:AlternateContent>
    </w:r>
    <w:hyperlink r:id="rId1" w:history="1">
      <w:r w:rsidRPr="00B729DE">
        <w:rPr>
          <w:rStyle w:val="Hyperlink"/>
        </w:rPr>
        <w:t>www.nopta.gov.au</w:t>
      </w:r>
    </w:hyperlink>
    <w:r>
      <w:t xml:space="preserve"> </w:t>
    </w:r>
    <w:r>
      <w:tab/>
    </w:r>
    <w:r>
      <w:tab/>
      <w:t xml:space="preserve">Version </w:t>
    </w:r>
    <w:r w:rsidR="006366D4">
      <w:t>effective</w:t>
    </w:r>
    <w:r w:rsidR="00446DE2">
      <w:t>:</w:t>
    </w:r>
    <w:r w:rsidR="00280835">
      <w:t xml:space="preserve"> </w:t>
    </w:r>
    <w:r w:rsidR="00E3662D">
      <w:t xml:space="preserve">31 </w:t>
    </w:r>
    <w:r w:rsidR="001D08A9">
      <w:t>March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7CA88" w14:textId="77777777" w:rsidR="00363B0D" w:rsidRDefault="00363B0D">
    <w:pPr>
      <w:pStyle w:val="Footer"/>
    </w:pPr>
    <w:r>
      <w:rPr>
        <w:noProof/>
      </w:rPr>
      <mc:AlternateContent>
        <mc:Choice Requires="wps">
          <w:drawing>
            <wp:anchor distT="0" distB="0" distL="0" distR="0" simplePos="0" relativeHeight="251658245" behindDoc="0" locked="0" layoutInCell="1" allowOverlap="1" wp14:anchorId="4ECB2AF3" wp14:editId="633B9985">
              <wp:simplePos x="635" y="635"/>
              <wp:positionH relativeFrom="column">
                <wp:align>center</wp:align>
              </wp:positionH>
              <wp:positionV relativeFrom="paragraph">
                <wp:posOffset>635</wp:posOffset>
              </wp:positionV>
              <wp:extent cx="443865" cy="443865"/>
              <wp:effectExtent l="0" t="0" r="18415" b="10795"/>
              <wp:wrapSquare wrapText="bothSides"/>
              <wp:docPr id="10"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2557CC" w14:textId="77777777" w:rsidR="00363B0D" w:rsidRPr="00AE1C7B" w:rsidRDefault="00363B0D">
                          <w:pPr>
                            <w:rPr>
                              <w:rFonts w:ascii="Arial" w:eastAsia="Arial" w:hAnsi="Arial" w:cs="Arial"/>
                              <w:color w:val="FF0000"/>
                            </w:rPr>
                          </w:pPr>
                          <w:r w:rsidRPr="00AE1C7B">
                            <w:rPr>
                              <w:rFonts w:ascii="Arial" w:eastAsia="Arial" w:hAnsi="Arial" w:cs="Arial"/>
                              <w:color w:val="FF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ECB2AF3" id="_x0000_t202" coordsize="21600,21600" o:spt="202" path="m,l,21600r21600,l21600,xe">
              <v:stroke joinstyle="miter"/>
              <v:path gradientshapeok="t" o:connecttype="rect"/>
            </v:shapetype>
            <v:shape id="Text Box 10" o:spid="_x0000_s1041" type="#_x0000_t202" alt="OFFICIAL" style="position:absolute;margin-left:0;margin-top:.05pt;width:34.95pt;height:34.95pt;z-index:25165824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762557CC" w14:textId="77777777" w:rsidR="00363B0D" w:rsidRPr="00AE1C7B" w:rsidRDefault="00363B0D">
                    <w:pPr>
                      <w:rPr>
                        <w:rFonts w:ascii="Arial" w:eastAsia="Arial" w:hAnsi="Arial" w:cs="Arial"/>
                        <w:color w:val="FF0000"/>
                      </w:rPr>
                    </w:pPr>
                    <w:r w:rsidRPr="00AE1C7B">
                      <w:rPr>
                        <w:rFonts w:ascii="Arial" w:eastAsia="Arial" w:hAnsi="Arial" w:cs="Arial"/>
                        <w:color w:val="FF0000"/>
                      </w:rPr>
                      <w:t>OFFICIAL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7B14B" w14:textId="77777777" w:rsidR="00177943" w:rsidRDefault="00177943" w:rsidP="00C83270">
      <w:pPr>
        <w:spacing w:before="0" w:after="0"/>
      </w:pPr>
      <w:r>
        <w:separator/>
      </w:r>
    </w:p>
  </w:footnote>
  <w:footnote w:type="continuationSeparator" w:id="0">
    <w:p w14:paraId="029AB92B" w14:textId="77777777" w:rsidR="00177943" w:rsidRDefault="00177943" w:rsidP="00C8327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F5DBE" w14:textId="77777777" w:rsidR="00363B0D" w:rsidRDefault="00363B0D">
    <w:pPr>
      <w:pStyle w:val="Header"/>
    </w:pPr>
    <w:r>
      <w:rPr>
        <w:noProof/>
      </w:rPr>
      <mc:AlternateContent>
        <mc:Choice Requires="wps">
          <w:drawing>
            <wp:anchor distT="0" distB="0" distL="0" distR="0" simplePos="0" relativeHeight="251658243" behindDoc="0" locked="0" layoutInCell="1" allowOverlap="1" wp14:anchorId="77AB75F9" wp14:editId="07D9DA34">
              <wp:simplePos x="635" y="635"/>
              <wp:positionH relativeFrom="column">
                <wp:align>center</wp:align>
              </wp:positionH>
              <wp:positionV relativeFrom="paragraph">
                <wp:posOffset>635</wp:posOffset>
              </wp:positionV>
              <wp:extent cx="443865" cy="443865"/>
              <wp:effectExtent l="0" t="0" r="18415" b="10795"/>
              <wp:wrapSquare wrapText="bothSides"/>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721EF7" w14:textId="77777777" w:rsidR="00363B0D" w:rsidRPr="00AE1C7B" w:rsidRDefault="00363B0D">
                          <w:pPr>
                            <w:rPr>
                              <w:rFonts w:ascii="Arial" w:eastAsia="Arial" w:hAnsi="Arial" w:cs="Arial"/>
                              <w:color w:val="FF0000"/>
                            </w:rPr>
                          </w:pPr>
                          <w:r w:rsidRPr="00AE1C7B">
                            <w:rPr>
                              <w:rFonts w:ascii="Arial" w:eastAsia="Arial" w:hAnsi="Arial" w:cs="Arial"/>
                              <w:color w:val="FF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7AB75F9" id="_x0000_t202" coordsize="21600,21600" o:spt="202" path="m,l,21600r21600,l21600,xe">
              <v:stroke joinstyle="miter"/>
              <v:path gradientshapeok="t" o:connecttype="rect"/>
            </v:shapetype>
            <v:shape id="Text Box 3" o:spid="_x0000_s1038" type="#_x0000_t202" alt="OFFICIAL" style="position:absolute;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08721EF7" w14:textId="77777777" w:rsidR="00363B0D" w:rsidRPr="00AE1C7B" w:rsidRDefault="00363B0D">
                    <w:pPr>
                      <w:rPr>
                        <w:rFonts w:ascii="Arial" w:eastAsia="Arial" w:hAnsi="Arial" w:cs="Arial"/>
                        <w:color w:val="FF0000"/>
                      </w:rPr>
                    </w:pPr>
                    <w:r w:rsidRPr="00AE1C7B">
                      <w:rPr>
                        <w:rFonts w:ascii="Arial" w:eastAsia="Arial" w:hAnsi="Arial" w:cs="Arial"/>
                        <w:color w:val="FF0000"/>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E7FAD" w14:textId="466C4C11" w:rsidR="00363B0D" w:rsidRDefault="00363B0D">
    <w:pPr>
      <w:pStyle w:val="Header"/>
    </w:pPr>
    <w:r>
      <w:rPr>
        <w:noProof/>
      </w:rPr>
      <w:drawing>
        <wp:anchor distT="0" distB="0" distL="114300" distR="114300" simplePos="0" relativeHeight="251658247" behindDoc="1" locked="0" layoutInCell="1" allowOverlap="1" wp14:anchorId="49C77CE8" wp14:editId="43AF0F21">
          <wp:simplePos x="0" y="0"/>
          <wp:positionH relativeFrom="page">
            <wp:posOffset>-19050</wp:posOffset>
          </wp:positionH>
          <wp:positionV relativeFrom="page">
            <wp:posOffset>-28575</wp:posOffset>
          </wp:positionV>
          <wp:extent cx="7563485" cy="1562100"/>
          <wp:effectExtent l="0" t="0" r="0" b="0"/>
          <wp:wrapNone/>
          <wp:docPr id="1769513295" name="Picture 1769513295" descr="NOPTA Factsheet">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7563485" cy="15621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5C6B7" w14:textId="77777777" w:rsidR="00363B0D" w:rsidRDefault="00363B0D">
    <w:pPr>
      <w:pStyle w:val="Header"/>
    </w:pPr>
    <w:r>
      <w:rPr>
        <w:noProof/>
      </w:rPr>
      <mc:AlternateContent>
        <mc:Choice Requires="wps">
          <w:drawing>
            <wp:anchor distT="0" distB="0" distL="0" distR="0" simplePos="0" relativeHeight="251658242" behindDoc="0" locked="0" layoutInCell="1" allowOverlap="1" wp14:anchorId="4A370031" wp14:editId="3B0F2354">
              <wp:simplePos x="635" y="635"/>
              <wp:positionH relativeFrom="column">
                <wp:align>center</wp:align>
              </wp:positionH>
              <wp:positionV relativeFrom="paragraph">
                <wp:posOffset>635</wp:posOffset>
              </wp:positionV>
              <wp:extent cx="443865" cy="443865"/>
              <wp:effectExtent l="0" t="0" r="18415" b="10795"/>
              <wp:wrapSquare wrapText="bothSides"/>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8EC7AF" w14:textId="77777777" w:rsidR="00363B0D" w:rsidRPr="00AE1C7B" w:rsidRDefault="00363B0D">
                          <w:pPr>
                            <w:rPr>
                              <w:rFonts w:ascii="Arial" w:eastAsia="Arial" w:hAnsi="Arial" w:cs="Arial"/>
                              <w:color w:val="FF0000"/>
                            </w:rPr>
                          </w:pPr>
                          <w:r w:rsidRPr="00AE1C7B">
                            <w:rPr>
                              <w:rFonts w:ascii="Arial" w:eastAsia="Arial" w:hAnsi="Arial" w:cs="Arial"/>
                              <w:color w:val="FF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A370031" id="_x0000_t202" coordsize="21600,21600" o:spt="202" path="m,l,21600r21600,l21600,xe">
              <v:stroke joinstyle="miter"/>
              <v:path gradientshapeok="t" o:connecttype="rect"/>
            </v:shapetype>
            <v:shape id="Text Box 2" o:spid="_x0000_s1040" type="#_x0000_t202" alt="OFFICIAL" style="position:absolute;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7C8EC7AF" w14:textId="77777777" w:rsidR="00363B0D" w:rsidRPr="00AE1C7B" w:rsidRDefault="00363B0D">
                    <w:pPr>
                      <w:rPr>
                        <w:rFonts w:ascii="Arial" w:eastAsia="Arial" w:hAnsi="Arial" w:cs="Arial"/>
                        <w:color w:val="FF0000"/>
                      </w:rPr>
                    </w:pPr>
                    <w:r w:rsidRPr="00AE1C7B">
                      <w:rPr>
                        <w:rFonts w:ascii="Arial" w:eastAsia="Arial" w:hAnsi="Arial" w:cs="Arial"/>
                        <w:color w:val="FF0000"/>
                      </w:rPr>
                      <w:t>OFFICIAL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0C3E6" w14:textId="4207733E" w:rsidR="00C83270" w:rsidRDefault="00C83270">
    <w:pPr>
      <w:pStyle w:val="Header"/>
    </w:pPr>
    <w:r>
      <w:rPr>
        <w:noProof/>
      </w:rPr>
      <w:drawing>
        <wp:anchor distT="0" distB="0" distL="114300" distR="114300" simplePos="0" relativeHeight="251658240" behindDoc="0" locked="0" layoutInCell="1" allowOverlap="1" wp14:anchorId="32DCF2B5" wp14:editId="259D040E">
          <wp:simplePos x="0" y="0"/>
          <wp:positionH relativeFrom="page">
            <wp:posOffset>-17145</wp:posOffset>
          </wp:positionH>
          <wp:positionV relativeFrom="page">
            <wp:posOffset>-34877</wp:posOffset>
          </wp:positionV>
          <wp:extent cx="7617125" cy="1562100"/>
          <wp:effectExtent l="0" t="0" r="3175" b="0"/>
          <wp:wrapNone/>
          <wp:docPr id="654460761" name="Picture 6544607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7617125" cy="15621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778BA40"/>
    <w:lvl w:ilvl="0">
      <w:start w:val="1"/>
      <w:numFmt w:val="decimal"/>
      <w:lvlText w:val="%1."/>
      <w:lvlJc w:val="left"/>
      <w:pPr>
        <w:tabs>
          <w:tab w:val="num" w:pos="360"/>
        </w:tabs>
        <w:ind w:left="360" w:hanging="360"/>
      </w:pPr>
    </w:lvl>
  </w:abstractNum>
  <w:abstractNum w:abstractNumId="1" w15:restartNumberingAfterBreak="0">
    <w:nsid w:val="002A7DBA"/>
    <w:multiLevelType w:val="hybridMultilevel"/>
    <w:tmpl w:val="55840AD0"/>
    <w:lvl w:ilvl="0" w:tplc="50E0F5D6">
      <w:start w:val="1"/>
      <w:numFmt w:val="lowerLetter"/>
      <w:lvlText w:val="(%1)"/>
      <w:lvlJc w:val="left"/>
      <w:pPr>
        <w:ind w:left="1797" w:hanging="360"/>
      </w:pPr>
      <w:rPr>
        <w:rFonts w:hint="default"/>
      </w:rPr>
    </w:lvl>
    <w:lvl w:ilvl="1" w:tplc="0C090019" w:tentative="1">
      <w:start w:val="1"/>
      <w:numFmt w:val="lowerLetter"/>
      <w:lvlText w:val="%2."/>
      <w:lvlJc w:val="left"/>
      <w:pPr>
        <w:ind w:left="2517" w:hanging="360"/>
      </w:pPr>
    </w:lvl>
    <w:lvl w:ilvl="2" w:tplc="0C09001B" w:tentative="1">
      <w:start w:val="1"/>
      <w:numFmt w:val="lowerRoman"/>
      <w:lvlText w:val="%3."/>
      <w:lvlJc w:val="right"/>
      <w:pPr>
        <w:ind w:left="3237" w:hanging="180"/>
      </w:pPr>
    </w:lvl>
    <w:lvl w:ilvl="3" w:tplc="0C09000F" w:tentative="1">
      <w:start w:val="1"/>
      <w:numFmt w:val="decimal"/>
      <w:lvlText w:val="%4."/>
      <w:lvlJc w:val="left"/>
      <w:pPr>
        <w:ind w:left="3957" w:hanging="360"/>
      </w:pPr>
    </w:lvl>
    <w:lvl w:ilvl="4" w:tplc="0C090019" w:tentative="1">
      <w:start w:val="1"/>
      <w:numFmt w:val="lowerLetter"/>
      <w:lvlText w:val="%5."/>
      <w:lvlJc w:val="left"/>
      <w:pPr>
        <w:ind w:left="4677" w:hanging="360"/>
      </w:pPr>
    </w:lvl>
    <w:lvl w:ilvl="5" w:tplc="0C09001B" w:tentative="1">
      <w:start w:val="1"/>
      <w:numFmt w:val="lowerRoman"/>
      <w:lvlText w:val="%6."/>
      <w:lvlJc w:val="right"/>
      <w:pPr>
        <w:ind w:left="5397" w:hanging="180"/>
      </w:pPr>
    </w:lvl>
    <w:lvl w:ilvl="6" w:tplc="0C09000F" w:tentative="1">
      <w:start w:val="1"/>
      <w:numFmt w:val="decimal"/>
      <w:lvlText w:val="%7."/>
      <w:lvlJc w:val="left"/>
      <w:pPr>
        <w:ind w:left="6117" w:hanging="360"/>
      </w:pPr>
    </w:lvl>
    <w:lvl w:ilvl="7" w:tplc="0C090019" w:tentative="1">
      <w:start w:val="1"/>
      <w:numFmt w:val="lowerLetter"/>
      <w:lvlText w:val="%8."/>
      <w:lvlJc w:val="left"/>
      <w:pPr>
        <w:ind w:left="6837" w:hanging="360"/>
      </w:pPr>
    </w:lvl>
    <w:lvl w:ilvl="8" w:tplc="0C09001B" w:tentative="1">
      <w:start w:val="1"/>
      <w:numFmt w:val="lowerRoman"/>
      <w:lvlText w:val="%9."/>
      <w:lvlJc w:val="right"/>
      <w:pPr>
        <w:ind w:left="7557" w:hanging="180"/>
      </w:pPr>
    </w:lvl>
  </w:abstractNum>
  <w:abstractNum w:abstractNumId="2" w15:restartNumberingAfterBreak="0">
    <w:nsid w:val="060812EF"/>
    <w:multiLevelType w:val="multilevel"/>
    <w:tmpl w:val="6AEA334A"/>
    <w:lvl w:ilvl="0">
      <w:start w:val="9"/>
      <w:numFmt w:val="lowerLetter"/>
      <w:lvlText w:val="(%1)"/>
      <w:lvlJc w:val="left"/>
      <w:pPr>
        <w:ind w:left="360" w:hanging="360"/>
      </w:pPr>
    </w:lvl>
    <w:lvl w:ilvl="1">
      <w:start w:val="1"/>
      <w:numFmt w:val="lowerRoman"/>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D367871"/>
    <w:multiLevelType w:val="multilevel"/>
    <w:tmpl w:val="A3F0CB2A"/>
    <w:lvl w:ilvl="0">
      <w:start w:val="1"/>
      <w:numFmt w:val="lowerLetter"/>
      <w:lvlText w:val="(%1)"/>
      <w:lvlJc w:val="left"/>
      <w:pPr>
        <w:ind w:left="644" w:hanging="360"/>
      </w:pPr>
      <w:rPr>
        <w:color w:val="auto"/>
      </w:rPr>
    </w:lvl>
    <w:lvl w:ilvl="1">
      <w:start w:val="1"/>
      <w:numFmt w:val="lowerRoman"/>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4" w15:restartNumberingAfterBreak="0">
    <w:nsid w:val="17F43375"/>
    <w:multiLevelType w:val="hybridMultilevel"/>
    <w:tmpl w:val="B71AF532"/>
    <w:lvl w:ilvl="0" w:tplc="03B2FCDA">
      <w:start w:val="1"/>
      <w:numFmt w:val="decimal"/>
      <w:lvlText w:val="(%1)"/>
      <w:lvlJc w:val="left"/>
      <w:pPr>
        <w:ind w:left="720" w:hanging="360"/>
      </w:pPr>
      <w:rPr>
        <w:rFonts w:hint="default"/>
        <w:vertAlign w:val="superscrip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7257098"/>
    <w:multiLevelType w:val="hybridMultilevel"/>
    <w:tmpl w:val="7E4836F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E116CB7"/>
    <w:multiLevelType w:val="hybridMultilevel"/>
    <w:tmpl w:val="01743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A7F58E7"/>
    <w:multiLevelType w:val="hybridMultilevel"/>
    <w:tmpl w:val="621A19B2"/>
    <w:lvl w:ilvl="0" w:tplc="36CA728E">
      <w:start w:val="1"/>
      <w:numFmt w:val="bullet"/>
      <w:pStyle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8" w15:restartNumberingAfterBreak="0">
    <w:nsid w:val="3E1726CD"/>
    <w:multiLevelType w:val="hybridMultilevel"/>
    <w:tmpl w:val="61069E40"/>
    <w:lvl w:ilvl="0" w:tplc="0C090017">
      <w:start w:val="1"/>
      <w:numFmt w:val="lowerLetter"/>
      <w:lvlText w:val="%1)"/>
      <w:lvlJc w:val="left"/>
      <w:pPr>
        <w:ind w:left="765" w:hanging="360"/>
      </w:pPr>
    </w:lvl>
    <w:lvl w:ilvl="1" w:tplc="0C09001B">
      <w:start w:val="1"/>
      <w:numFmt w:val="lowerRoman"/>
      <w:lvlText w:val="%2."/>
      <w:lvlJc w:val="righ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9" w15:restartNumberingAfterBreak="0">
    <w:nsid w:val="591E255D"/>
    <w:multiLevelType w:val="hybridMultilevel"/>
    <w:tmpl w:val="19A40D64"/>
    <w:lvl w:ilvl="0" w:tplc="50E0F5D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A553C68"/>
    <w:multiLevelType w:val="hybridMultilevel"/>
    <w:tmpl w:val="C3E4A9FA"/>
    <w:lvl w:ilvl="0" w:tplc="1660E7A4">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07359DC"/>
    <w:multiLevelType w:val="hybridMultilevel"/>
    <w:tmpl w:val="FAB489BC"/>
    <w:lvl w:ilvl="0" w:tplc="0C09000F">
      <w:start w:val="1"/>
      <w:numFmt w:val="decimal"/>
      <w:pStyle w:val="ListParagraph"/>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60F03034"/>
    <w:multiLevelType w:val="hybridMultilevel"/>
    <w:tmpl w:val="78F4A6E2"/>
    <w:lvl w:ilvl="0" w:tplc="ADA2AA6C">
      <w:start w:val="1"/>
      <w:numFmt w:val="lowerLetter"/>
      <w:lvlText w:val="(%1)"/>
      <w:lvlJc w:val="left"/>
      <w:pPr>
        <w:ind w:left="1437" w:hanging="360"/>
      </w:pPr>
      <w:rPr>
        <w:rFonts w:hint="default"/>
      </w:rPr>
    </w:lvl>
    <w:lvl w:ilvl="1" w:tplc="0C090019" w:tentative="1">
      <w:start w:val="1"/>
      <w:numFmt w:val="lowerLetter"/>
      <w:lvlText w:val="%2."/>
      <w:lvlJc w:val="left"/>
      <w:pPr>
        <w:ind w:left="2157" w:hanging="360"/>
      </w:pPr>
    </w:lvl>
    <w:lvl w:ilvl="2" w:tplc="0C09001B" w:tentative="1">
      <w:start w:val="1"/>
      <w:numFmt w:val="lowerRoman"/>
      <w:lvlText w:val="%3."/>
      <w:lvlJc w:val="right"/>
      <w:pPr>
        <w:ind w:left="2877" w:hanging="180"/>
      </w:pPr>
    </w:lvl>
    <w:lvl w:ilvl="3" w:tplc="0C09000F" w:tentative="1">
      <w:start w:val="1"/>
      <w:numFmt w:val="decimal"/>
      <w:lvlText w:val="%4."/>
      <w:lvlJc w:val="left"/>
      <w:pPr>
        <w:ind w:left="3597" w:hanging="360"/>
      </w:pPr>
    </w:lvl>
    <w:lvl w:ilvl="4" w:tplc="0C090019" w:tentative="1">
      <w:start w:val="1"/>
      <w:numFmt w:val="lowerLetter"/>
      <w:lvlText w:val="%5."/>
      <w:lvlJc w:val="left"/>
      <w:pPr>
        <w:ind w:left="4317" w:hanging="360"/>
      </w:pPr>
    </w:lvl>
    <w:lvl w:ilvl="5" w:tplc="0C09001B" w:tentative="1">
      <w:start w:val="1"/>
      <w:numFmt w:val="lowerRoman"/>
      <w:lvlText w:val="%6."/>
      <w:lvlJc w:val="right"/>
      <w:pPr>
        <w:ind w:left="5037" w:hanging="180"/>
      </w:pPr>
    </w:lvl>
    <w:lvl w:ilvl="6" w:tplc="0C09000F" w:tentative="1">
      <w:start w:val="1"/>
      <w:numFmt w:val="decimal"/>
      <w:lvlText w:val="%7."/>
      <w:lvlJc w:val="left"/>
      <w:pPr>
        <w:ind w:left="5757" w:hanging="360"/>
      </w:pPr>
    </w:lvl>
    <w:lvl w:ilvl="7" w:tplc="0C090019" w:tentative="1">
      <w:start w:val="1"/>
      <w:numFmt w:val="lowerLetter"/>
      <w:lvlText w:val="%8."/>
      <w:lvlJc w:val="left"/>
      <w:pPr>
        <w:ind w:left="6477" w:hanging="360"/>
      </w:pPr>
    </w:lvl>
    <w:lvl w:ilvl="8" w:tplc="0C09001B" w:tentative="1">
      <w:start w:val="1"/>
      <w:numFmt w:val="lowerRoman"/>
      <w:lvlText w:val="%9."/>
      <w:lvlJc w:val="right"/>
      <w:pPr>
        <w:ind w:left="7197" w:hanging="180"/>
      </w:pPr>
    </w:lvl>
  </w:abstractNum>
  <w:abstractNum w:abstractNumId="13" w15:restartNumberingAfterBreak="0">
    <w:nsid w:val="77676982"/>
    <w:multiLevelType w:val="hybridMultilevel"/>
    <w:tmpl w:val="F9F6DE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DD473CB"/>
    <w:multiLevelType w:val="hybridMultilevel"/>
    <w:tmpl w:val="F30243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7FD570C9"/>
    <w:multiLevelType w:val="multilevel"/>
    <w:tmpl w:val="1A4ADC4E"/>
    <w:lvl w:ilvl="0">
      <w:start w:val="1"/>
      <w:numFmt w:val="lowerLetter"/>
      <w:lvlText w:val="(%1)"/>
      <w:lvlJc w:val="left"/>
      <w:pPr>
        <w:ind w:left="360" w:hanging="360"/>
      </w:pPr>
    </w:lvl>
    <w:lvl w:ilvl="1">
      <w:start w:val="1"/>
      <w:numFmt w:val="lowerRoman"/>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77641564">
    <w:abstractNumId w:val="7"/>
  </w:num>
  <w:num w:numId="2" w16cid:durableId="218320770">
    <w:abstractNumId w:val="13"/>
  </w:num>
  <w:num w:numId="3" w16cid:durableId="11278974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27062964">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95972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3231172">
    <w:abstractNumId w:val="5"/>
  </w:num>
  <w:num w:numId="7" w16cid:durableId="1772120792">
    <w:abstractNumId w:val="8"/>
  </w:num>
  <w:num w:numId="8" w16cid:durableId="1591885166">
    <w:abstractNumId w:val="9"/>
  </w:num>
  <w:num w:numId="9" w16cid:durableId="823745227">
    <w:abstractNumId w:val="10"/>
  </w:num>
  <w:num w:numId="10" w16cid:durableId="2100787410">
    <w:abstractNumId w:val="11"/>
  </w:num>
  <w:num w:numId="11" w16cid:durableId="1232815938">
    <w:abstractNumId w:val="11"/>
  </w:num>
  <w:num w:numId="12" w16cid:durableId="1007753442">
    <w:abstractNumId w:val="11"/>
  </w:num>
  <w:num w:numId="13" w16cid:durableId="916867410">
    <w:abstractNumId w:val="11"/>
  </w:num>
  <w:num w:numId="14" w16cid:durableId="960111073">
    <w:abstractNumId w:val="11"/>
  </w:num>
  <w:num w:numId="15" w16cid:durableId="485434975">
    <w:abstractNumId w:val="11"/>
  </w:num>
  <w:num w:numId="16" w16cid:durableId="1750149639">
    <w:abstractNumId w:val="11"/>
  </w:num>
  <w:num w:numId="17" w16cid:durableId="1164512448">
    <w:abstractNumId w:val="11"/>
  </w:num>
  <w:num w:numId="18" w16cid:durableId="704863809">
    <w:abstractNumId w:val="11"/>
  </w:num>
  <w:num w:numId="19" w16cid:durableId="240256748">
    <w:abstractNumId w:val="0"/>
  </w:num>
  <w:num w:numId="20" w16cid:durableId="1411198887">
    <w:abstractNumId w:val="4"/>
  </w:num>
  <w:num w:numId="21" w16cid:durableId="534198755">
    <w:abstractNumId w:val="11"/>
  </w:num>
  <w:num w:numId="22" w16cid:durableId="687562832">
    <w:abstractNumId w:val="11"/>
  </w:num>
  <w:num w:numId="23" w16cid:durableId="1979916750">
    <w:abstractNumId w:val="11"/>
  </w:num>
  <w:num w:numId="24" w16cid:durableId="198468934">
    <w:abstractNumId w:val="11"/>
  </w:num>
  <w:num w:numId="25" w16cid:durableId="1162813964">
    <w:abstractNumId w:val="11"/>
  </w:num>
  <w:num w:numId="26" w16cid:durableId="1293053490">
    <w:abstractNumId w:val="11"/>
  </w:num>
  <w:num w:numId="27" w16cid:durableId="1324892909">
    <w:abstractNumId w:val="11"/>
  </w:num>
  <w:num w:numId="28" w16cid:durableId="2022779041">
    <w:abstractNumId w:val="11"/>
  </w:num>
  <w:num w:numId="29" w16cid:durableId="841506610">
    <w:abstractNumId w:val="11"/>
  </w:num>
  <w:num w:numId="30" w16cid:durableId="1551526745">
    <w:abstractNumId w:val="11"/>
  </w:num>
  <w:num w:numId="31" w16cid:durableId="1014267130">
    <w:abstractNumId w:val="11"/>
  </w:num>
  <w:num w:numId="32" w16cid:durableId="1758479867">
    <w:abstractNumId w:val="14"/>
  </w:num>
  <w:num w:numId="33" w16cid:durableId="1716654741">
    <w:abstractNumId w:val="1"/>
  </w:num>
  <w:num w:numId="34" w16cid:durableId="260183096">
    <w:abstractNumId w:val="12"/>
  </w:num>
  <w:num w:numId="35" w16cid:durableId="740719071">
    <w:abstractNumId w:val="6"/>
  </w:num>
  <w:num w:numId="36" w16cid:durableId="376330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270"/>
    <w:rsid w:val="00016341"/>
    <w:rsid w:val="000242A0"/>
    <w:rsid w:val="00025B3A"/>
    <w:rsid w:val="00040DAB"/>
    <w:rsid w:val="00040FDA"/>
    <w:rsid w:val="000411FA"/>
    <w:rsid w:val="00041771"/>
    <w:rsid w:val="0004298F"/>
    <w:rsid w:val="0004485D"/>
    <w:rsid w:val="00051D5A"/>
    <w:rsid w:val="00064E81"/>
    <w:rsid w:val="00066FB9"/>
    <w:rsid w:val="00070B42"/>
    <w:rsid w:val="000718EF"/>
    <w:rsid w:val="00071B2E"/>
    <w:rsid w:val="00071E86"/>
    <w:rsid w:val="0008417E"/>
    <w:rsid w:val="00093477"/>
    <w:rsid w:val="00093BA0"/>
    <w:rsid w:val="00094525"/>
    <w:rsid w:val="0009534E"/>
    <w:rsid w:val="0009633E"/>
    <w:rsid w:val="000A09AA"/>
    <w:rsid w:val="000B24FA"/>
    <w:rsid w:val="000B4B77"/>
    <w:rsid w:val="000B5610"/>
    <w:rsid w:val="000D123E"/>
    <w:rsid w:val="000E3F6C"/>
    <w:rsid w:val="000F64E4"/>
    <w:rsid w:val="000F757B"/>
    <w:rsid w:val="000F75E2"/>
    <w:rsid w:val="00103ABD"/>
    <w:rsid w:val="00105EAC"/>
    <w:rsid w:val="00106E42"/>
    <w:rsid w:val="00113FD1"/>
    <w:rsid w:val="0012188B"/>
    <w:rsid w:val="001262C3"/>
    <w:rsid w:val="00130C5B"/>
    <w:rsid w:val="00134874"/>
    <w:rsid w:val="001370C4"/>
    <w:rsid w:val="00140444"/>
    <w:rsid w:val="00145670"/>
    <w:rsid w:val="0014771A"/>
    <w:rsid w:val="00167C1E"/>
    <w:rsid w:val="001719D5"/>
    <w:rsid w:val="00177943"/>
    <w:rsid w:val="00177C18"/>
    <w:rsid w:val="00187C1D"/>
    <w:rsid w:val="0019410E"/>
    <w:rsid w:val="00194566"/>
    <w:rsid w:val="001977CC"/>
    <w:rsid w:val="001A3029"/>
    <w:rsid w:val="001A5DD6"/>
    <w:rsid w:val="001A5DEB"/>
    <w:rsid w:val="001B46FC"/>
    <w:rsid w:val="001B58D2"/>
    <w:rsid w:val="001C3CEF"/>
    <w:rsid w:val="001C4AFC"/>
    <w:rsid w:val="001C5FE1"/>
    <w:rsid w:val="001D08A9"/>
    <w:rsid w:val="001D108D"/>
    <w:rsid w:val="001D31AD"/>
    <w:rsid w:val="001D767D"/>
    <w:rsid w:val="001E053C"/>
    <w:rsid w:val="001E41ED"/>
    <w:rsid w:val="001F7668"/>
    <w:rsid w:val="00202BBB"/>
    <w:rsid w:val="00205442"/>
    <w:rsid w:val="00205EF1"/>
    <w:rsid w:val="00217A40"/>
    <w:rsid w:val="00243E62"/>
    <w:rsid w:val="00244240"/>
    <w:rsid w:val="0024612C"/>
    <w:rsid w:val="0027076D"/>
    <w:rsid w:val="0027327B"/>
    <w:rsid w:val="0027536A"/>
    <w:rsid w:val="002754F1"/>
    <w:rsid w:val="00276C75"/>
    <w:rsid w:val="00280835"/>
    <w:rsid w:val="00291376"/>
    <w:rsid w:val="00293C03"/>
    <w:rsid w:val="00294977"/>
    <w:rsid w:val="002A17FE"/>
    <w:rsid w:val="002A25F0"/>
    <w:rsid w:val="002B2716"/>
    <w:rsid w:val="002C399E"/>
    <w:rsid w:val="002D293C"/>
    <w:rsid w:val="002E3CFD"/>
    <w:rsid w:val="002E5FBE"/>
    <w:rsid w:val="002F1609"/>
    <w:rsid w:val="002F3804"/>
    <w:rsid w:val="003109DC"/>
    <w:rsid w:val="003160CF"/>
    <w:rsid w:val="00317506"/>
    <w:rsid w:val="00321B60"/>
    <w:rsid w:val="003232B0"/>
    <w:rsid w:val="00326D5F"/>
    <w:rsid w:val="003271CA"/>
    <w:rsid w:val="00334A9D"/>
    <w:rsid w:val="00337BCA"/>
    <w:rsid w:val="00340F3F"/>
    <w:rsid w:val="00341D0F"/>
    <w:rsid w:val="00345CDF"/>
    <w:rsid w:val="003472F3"/>
    <w:rsid w:val="00363B0D"/>
    <w:rsid w:val="00364D7B"/>
    <w:rsid w:val="00365C6E"/>
    <w:rsid w:val="003707D2"/>
    <w:rsid w:val="0037786E"/>
    <w:rsid w:val="00383D29"/>
    <w:rsid w:val="00392409"/>
    <w:rsid w:val="003A2DF2"/>
    <w:rsid w:val="003A6C59"/>
    <w:rsid w:val="003A78D0"/>
    <w:rsid w:val="003B0C25"/>
    <w:rsid w:val="003E2429"/>
    <w:rsid w:val="003E2EB9"/>
    <w:rsid w:val="003F224E"/>
    <w:rsid w:val="003F4013"/>
    <w:rsid w:val="004026E5"/>
    <w:rsid w:val="00412304"/>
    <w:rsid w:val="00414A48"/>
    <w:rsid w:val="00415B7C"/>
    <w:rsid w:val="00417999"/>
    <w:rsid w:val="00424657"/>
    <w:rsid w:val="00443BEB"/>
    <w:rsid w:val="00446DE2"/>
    <w:rsid w:val="00447090"/>
    <w:rsid w:val="0045001C"/>
    <w:rsid w:val="00452218"/>
    <w:rsid w:val="00456C07"/>
    <w:rsid w:val="00460125"/>
    <w:rsid w:val="00473D11"/>
    <w:rsid w:val="0048041C"/>
    <w:rsid w:val="00493747"/>
    <w:rsid w:val="00495ABC"/>
    <w:rsid w:val="00495D1C"/>
    <w:rsid w:val="004B4A4D"/>
    <w:rsid w:val="004C220A"/>
    <w:rsid w:val="004C66DD"/>
    <w:rsid w:val="004D1B1A"/>
    <w:rsid w:val="004E18DE"/>
    <w:rsid w:val="004E5CF0"/>
    <w:rsid w:val="004E5F78"/>
    <w:rsid w:val="004F00F8"/>
    <w:rsid w:val="004F3CF1"/>
    <w:rsid w:val="004F4AE6"/>
    <w:rsid w:val="0050325B"/>
    <w:rsid w:val="005072A4"/>
    <w:rsid w:val="00507EF9"/>
    <w:rsid w:val="00526564"/>
    <w:rsid w:val="005355EE"/>
    <w:rsid w:val="00541DC1"/>
    <w:rsid w:val="00545FB2"/>
    <w:rsid w:val="00547F22"/>
    <w:rsid w:val="00550B0D"/>
    <w:rsid w:val="00551840"/>
    <w:rsid w:val="00563FA6"/>
    <w:rsid w:val="00567516"/>
    <w:rsid w:val="00573E77"/>
    <w:rsid w:val="005868A6"/>
    <w:rsid w:val="00592A09"/>
    <w:rsid w:val="005A1447"/>
    <w:rsid w:val="005A2FCB"/>
    <w:rsid w:val="005A6BF2"/>
    <w:rsid w:val="005A6D6C"/>
    <w:rsid w:val="005A7F37"/>
    <w:rsid w:val="005B322D"/>
    <w:rsid w:val="005B61F3"/>
    <w:rsid w:val="005C08CB"/>
    <w:rsid w:val="005C504C"/>
    <w:rsid w:val="005C6D71"/>
    <w:rsid w:val="005D2924"/>
    <w:rsid w:val="005D6CFE"/>
    <w:rsid w:val="005F2125"/>
    <w:rsid w:val="005F2F16"/>
    <w:rsid w:val="00603243"/>
    <w:rsid w:val="006103E9"/>
    <w:rsid w:val="00610784"/>
    <w:rsid w:val="00610F35"/>
    <w:rsid w:val="0061247A"/>
    <w:rsid w:val="0061363C"/>
    <w:rsid w:val="00625930"/>
    <w:rsid w:val="00626842"/>
    <w:rsid w:val="00632671"/>
    <w:rsid w:val="0063612A"/>
    <w:rsid w:val="006366D4"/>
    <w:rsid w:val="006514E4"/>
    <w:rsid w:val="006567E1"/>
    <w:rsid w:val="006607CA"/>
    <w:rsid w:val="00666492"/>
    <w:rsid w:val="0067193D"/>
    <w:rsid w:val="0068035A"/>
    <w:rsid w:val="006827E4"/>
    <w:rsid w:val="006834D7"/>
    <w:rsid w:val="006912AA"/>
    <w:rsid w:val="006960EF"/>
    <w:rsid w:val="006978C6"/>
    <w:rsid w:val="006C26D4"/>
    <w:rsid w:val="006D4E55"/>
    <w:rsid w:val="006D5F86"/>
    <w:rsid w:val="006D7174"/>
    <w:rsid w:val="006E071E"/>
    <w:rsid w:val="006E485D"/>
    <w:rsid w:val="006E7C96"/>
    <w:rsid w:val="006F2B1F"/>
    <w:rsid w:val="006F58AE"/>
    <w:rsid w:val="006F5B8D"/>
    <w:rsid w:val="006F7CF8"/>
    <w:rsid w:val="0070581E"/>
    <w:rsid w:val="0071121C"/>
    <w:rsid w:val="00712F2E"/>
    <w:rsid w:val="00715C92"/>
    <w:rsid w:val="00723E1C"/>
    <w:rsid w:val="00726D91"/>
    <w:rsid w:val="00731BF4"/>
    <w:rsid w:val="007432B2"/>
    <w:rsid w:val="007539B7"/>
    <w:rsid w:val="00754B85"/>
    <w:rsid w:val="007665B3"/>
    <w:rsid w:val="00772BBD"/>
    <w:rsid w:val="0078601A"/>
    <w:rsid w:val="00794552"/>
    <w:rsid w:val="00794A12"/>
    <w:rsid w:val="00796971"/>
    <w:rsid w:val="007B2C6B"/>
    <w:rsid w:val="007B6CE3"/>
    <w:rsid w:val="007C0379"/>
    <w:rsid w:val="007E0650"/>
    <w:rsid w:val="007E1A9A"/>
    <w:rsid w:val="007F355B"/>
    <w:rsid w:val="008045FA"/>
    <w:rsid w:val="00830F06"/>
    <w:rsid w:val="008354B1"/>
    <w:rsid w:val="008502F8"/>
    <w:rsid w:val="00862B9D"/>
    <w:rsid w:val="008630C3"/>
    <w:rsid w:val="008700FC"/>
    <w:rsid w:val="008809E7"/>
    <w:rsid w:val="0089308C"/>
    <w:rsid w:val="00896A38"/>
    <w:rsid w:val="00896B89"/>
    <w:rsid w:val="00896FF4"/>
    <w:rsid w:val="00897EB7"/>
    <w:rsid w:val="008B6754"/>
    <w:rsid w:val="008C2642"/>
    <w:rsid w:val="008D18B2"/>
    <w:rsid w:val="008D2C41"/>
    <w:rsid w:val="008D610D"/>
    <w:rsid w:val="008D6595"/>
    <w:rsid w:val="008E3E2D"/>
    <w:rsid w:val="008F16A5"/>
    <w:rsid w:val="008F2634"/>
    <w:rsid w:val="008F3709"/>
    <w:rsid w:val="00912767"/>
    <w:rsid w:val="009141C0"/>
    <w:rsid w:val="00924089"/>
    <w:rsid w:val="00925DF4"/>
    <w:rsid w:val="009306CD"/>
    <w:rsid w:val="0094757B"/>
    <w:rsid w:val="00960F7A"/>
    <w:rsid w:val="00961B55"/>
    <w:rsid w:val="00974833"/>
    <w:rsid w:val="0098616A"/>
    <w:rsid w:val="00986F92"/>
    <w:rsid w:val="009872C9"/>
    <w:rsid w:val="009908B2"/>
    <w:rsid w:val="00990A40"/>
    <w:rsid w:val="00995D6A"/>
    <w:rsid w:val="00997739"/>
    <w:rsid w:val="009A0EDA"/>
    <w:rsid w:val="009A7E24"/>
    <w:rsid w:val="009B2B80"/>
    <w:rsid w:val="009B4B26"/>
    <w:rsid w:val="009D0576"/>
    <w:rsid w:val="009E5DE4"/>
    <w:rsid w:val="00A00A3A"/>
    <w:rsid w:val="00A14568"/>
    <w:rsid w:val="00A20756"/>
    <w:rsid w:val="00A21817"/>
    <w:rsid w:val="00A41CCF"/>
    <w:rsid w:val="00A47BD9"/>
    <w:rsid w:val="00A52D41"/>
    <w:rsid w:val="00A54B6B"/>
    <w:rsid w:val="00A61804"/>
    <w:rsid w:val="00A81678"/>
    <w:rsid w:val="00A87985"/>
    <w:rsid w:val="00A9345C"/>
    <w:rsid w:val="00A93E5E"/>
    <w:rsid w:val="00A93F0F"/>
    <w:rsid w:val="00AA31AE"/>
    <w:rsid w:val="00AC171E"/>
    <w:rsid w:val="00AC6350"/>
    <w:rsid w:val="00AD08F4"/>
    <w:rsid w:val="00AD78E7"/>
    <w:rsid w:val="00AE5972"/>
    <w:rsid w:val="00AF694C"/>
    <w:rsid w:val="00B03169"/>
    <w:rsid w:val="00B03452"/>
    <w:rsid w:val="00B11886"/>
    <w:rsid w:val="00B11E22"/>
    <w:rsid w:val="00B270DA"/>
    <w:rsid w:val="00B40084"/>
    <w:rsid w:val="00B400F6"/>
    <w:rsid w:val="00B41AB2"/>
    <w:rsid w:val="00B4380E"/>
    <w:rsid w:val="00B46070"/>
    <w:rsid w:val="00B532F2"/>
    <w:rsid w:val="00B53983"/>
    <w:rsid w:val="00B6496B"/>
    <w:rsid w:val="00B659EC"/>
    <w:rsid w:val="00B672F6"/>
    <w:rsid w:val="00B70782"/>
    <w:rsid w:val="00B72ABA"/>
    <w:rsid w:val="00B82764"/>
    <w:rsid w:val="00B82BB2"/>
    <w:rsid w:val="00B84493"/>
    <w:rsid w:val="00B925AD"/>
    <w:rsid w:val="00B93293"/>
    <w:rsid w:val="00B97440"/>
    <w:rsid w:val="00BA1AA3"/>
    <w:rsid w:val="00BA61B9"/>
    <w:rsid w:val="00BA7977"/>
    <w:rsid w:val="00BB5CF6"/>
    <w:rsid w:val="00BC2B15"/>
    <w:rsid w:val="00BE02D9"/>
    <w:rsid w:val="00BF1F92"/>
    <w:rsid w:val="00BF2E2A"/>
    <w:rsid w:val="00C0399E"/>
    <w:rsid w:val="00C04A19"/>
    <w:rsid w:val="00C06452"/>
    <w:rsid w:val="00C47E57"/>
    <w:rsid w:val="00C51961"/>
    <w:rsid w:val="00C77FD9"/>
    <w:rsid w:val="00C83270"/>
    <w:rsid w:val="00C916F7"/>
    <w:rsid w:val="00C95A6C"/>
    <w:rsid w:val="00CA0A58"/>
    <w:rsid w:val="00CA5270"/>
    <w:rsid w:val="00CA64F9"/>
    <w:rsid w:val="00CA7138"/>
    <w:rsid w:val="00CC205A"/>
    <w:rsid w:val="00CC7225"/>
    <w:rsid w:val="00CD4488"/>
    <w:rsid w:val="00CE3F49"/>
    <w:rsid w:val="00CE40B4"/>
    <w:rsid w:val="00CF34C2"/>
    <w:rsid w:val="00CF6BD3"/>
    <w:rsid w:val="00CF6F44"/>
    <w:rsid w:val="00CF728E"/>
    <w:rsid w:val="00D0135A"/>
    <w:rsid w:val="00D04599"/>
    <w:rsid w:val="00D06163"/>
    <w:rsid w:val="00D15ACB"/>
    <w:rsid w:val="00D16850"/>
    <w:rsid w:val="00D25C5E"/>
    <w:rsid w:val="00D25FE3"/>
    <w:rsid w:val="00D26C9C"/>
    <w:rsid w:val="00D32B82"/>
    <w:rsid w:val="00D43C1D"/>
    <w:rsid w:val="00D44E27"/>
    <w:rsid w:val="00D514F4"/>
    <w:rsid w:val="00D54513"/>
    <w:rsid w:val="00D54F40"/>
    <w:rsid w:val="00D64BDB"/>
    <w:rsid w:val="00D71132"/>
    <w:rsid w:val="00D81997"/>
    <w:rsid w:val="00D923DB"/>
    <w:rsid w:val="00D926B3"/>
    <w:rsid w:val="00D93C15"/>
    <w:rsid w:val="00D970F4"/>
    <w:rsid w:val="00D97E3D"/>
    <w:rsid w:val="00DA088C"/>
    <w:rsid w:val="00DB5BDC"/>
    <w:rsid w:val="00DE353F"/>
    <w:rsid w:val="00DF29E0"/>
    <w:rsid w:val="00E053E4"/>
    <w:rsid w:val="00E0552F"/>
    <w:rsid w:val="00E22A48"/>
    <w:rsid w:val="00E26354"/>
    <w:rsid w:val="00E3662D"/>
    <w:rsid w:val="00E431EB"/>
    <w:rsid w:val="00E4648B"/>
    <w:rsid w:val="00E52921"/>
    <w:rsid w:val="00E52C7F"/>
    <w:rsid w:val="00E53000"/>
    <w:rsid w:val="00E55350"/>
    <w:rsid w:val="00E55FD4"/>
    <w:rsid w:val="00E562A5"/>
    <w:rsid w:val="00E6191A"/>
    <w:rsid w:val="00E646FB"/>
    <w:rsid w:val="00E74D22"/>
    <w:rsid w:val="00E87E9C"/>
    <w:rsid w:val="00E91A8C"/>
    <w:rsid w:val="00E92011"/>
    <w:rsid w:val="00EA60E2"/>
    <w:rsid w:val="00EA7075"/>
    <w:rsid w:val="00EA7EE7"/>
    <w:rsid w:val="00EB176F"/>
    <w:rsid w:val="00EB3014"/>
    <w:rsid w:val="00ED356C"/>
    <w:rsid w:val="00ED4E38"/>
    <w:rsid w:val="00ED7317"/>
    <w:rsid w:val="00EE70DD"/>
    <w:rsid w:val="00EF274F"/>
    <w:rsid w:val="00EF5B5B"/>
    <w:rsid w:val="00F0198C"/>
    <w:rsid w:val="00F1182E"/>
    <w:rsid w:val="00F132D6"/>
    <w:rsid w:val="00F17B8D"/>
    <w:rsid w:val="00F260B4"/>
    <w:rsid w:val="00F27FAD"/>
    <w:rsid w:val="00F438FD"/>
    <w:rsid w:val="00F46305"/>
    <w:rsid w:val="00F520BA"/>
    <w:rsid w:val="00F52859"/>
    <w:rsid w:val="00F54813"/>
    <w:rsid w:val="00F56809"/>
    <w:rsid w:val="00F56A18"/>
    <w:rsid w:val="00F63CD0"/>
    <w:rsid w:val="00F65463"/>
    <w:rsid w:val="00F65D82"/>
    <w:rsid w:val="00F75E7E"/>
    <w:rsid w:val="00F81C2B"/>
    <w:rsid w:val="00FB6526"/>
    <w:rsid w:val="00FC425E"/>
    <w:rsid w:val="00FD4F89"/>
    <w:rsid w:val="00FF582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F3203"/>
  <w15:chartTrackingRefBased/>
  <w15:docId w15:val="{31482799-8D1F-4EAD-A011-26B0C1EFA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ABC"/>
    <w:pPr>
      <w:spacing w:before="120" w:after="120" w:line="240" w:lineRule="auto"/>
    </w:pPr>
    <w:rPr>
      <w:rFonts w:ascii="Aptos" w:hAnsi="Aptos"/>
      <w:color w:val="565751"/>
      <w:sz w:val="20"/>
    </w:rPr>
  </w:style>
  <w:style w:type="paragraph" w:styleId="Heading1">
    <w:name w:val="heading 1"/>
    <w:basedOn w:val="Normal"/>
    <w:next w:val="Normal"/>
    <w:link w:val="Heading1Char"/>
    <w:uiPriority w:val="9"/>
    <w:qFormat/>
    <w:rsid w:val="00E4648B"/>
    <w:pPr>
      <w:pBdr>
        <w:bottom w:val="single" w:sz="4" w:space="6" w:color="565751"/>
      </w:pBdr>
      <w:outlineLvl w:val="0"/>
    </w:pPr>
    <w:rPr>
      <w:rFonts w:ascii="Aptos Display" w:eastAsiaTheme="majorEastAsia" w:hAnsi="Aptos Display" w:cstheme="majorBidi"/>
      <w:bCs/>
      <w:color w:val="5F5F5F"/>
      <w:kern w:val="28"/>
      <w:sz w:val="52"/>
      <w:szCs w:val="56"/>
    </w:rPr>
  </w:style>
  <w:style w:type="paragraph" w:styleId="Heading2">
    <w:name w:val="heading 2"/>
    <w:basedOn w:val="Heading1"/>
    <w:next w:val="Normal"/>
    <w:link w:val="Heading2Char"/>
    <w:unhideWhenUsed/>
    <w:qFormat/>
    <w:rsid w:val="006834D7"/>
    <w:pPr>
      <w:pBdr>
        <w:bottom w:val="none" w:sz="0" w:space="0" w:color="auto"/>
      </w:pBdr>
      <w:outlineLvl w:val="1"/>
    </w:pPr>
    <w:rPr>
      <w:rFonts w:ascii="Aptos SemiBold" w:hAnsi="Aptos SemiBold"/>
      <w:sz w:val="24"/>
    </w:rPr>
  </w:style>
  <w:style w:type="paragraph" w:styleId="Heading3">
    <w:name w:val="heading 3"/>
    <w:basedOn w:val="Normal"/>
    <w:next w:val="Normal"/>
    <w:link w:val="Heading3Char"/>
    <w:autoRedefine/>
    <w:uiPriority w:val="9"/>
    <w:unhideWhenUsed/>
    <w:qFormat/>
    <w:rsid w:val="006607CA"/>
    <w:pPr>
      <w:keepNext/>
      <w:keepLines/>
      <w:spacing w:after="0"/>
      <w:outlineLvl w:val="2"/>
    </w:pPr>
    <w:rPr>
      <w:rFonts w:ascii="Aptos SemiBold" w:eastAsiaTheme="majorEastAsia" w:hAnsi="Aptos SemiBold" w:cstheme="majorBidi"/>
      <w:bCs/>
      <w:iCs/>
      <w:color w:val="5F5F5F"/>
      <w:szCs w:val="24"/>
      <w:u w:val="single"/>
    </w:rPr>
  </w:style>
  <w:style w:type="paragraph" w:styleId="Heading4">
    <w:name w:val="heading 4"/>
    <w:basedOn w:val="Normal"/>
    <w:next w:val="Normal"/>
    <w:link w:val="Heading4Char"/>
    <w:autoRedefine/>
    <w:uiPriority w:val="9"/>
    <w:unhideWhenUsed/>
    <w:qFormat/>
    <w:rsid w:val="00551840"/>
    <w:pPr>
      <w:keepNext/>
      <w:keepLines/>
      <w:spacing w:before="100" w:beforeAutospacing="1" w:after="100" w:afterAutospacing="1"/>
      <w:outlineLvl w:val="3"/>
    </w:pPr>
    <w:rPr>
      <w:rFonts w:asciiTheme="majorHAnsi" w:eastAsiaTheme="majorEastAsia" w:hAnsiTheme="majorHAnsi" w:cstheme="majorBidi"/>
      <w:i/>
      <w:iCs/>
      <w:color w:val="2F5496" w:themeColor="accent1" w:themeShade="BF"/>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een22">
    <w:name w:val="Green 22"/>
    <w:basedOn w:val="Heading1"/>
    <w:link w:val="Green22Char"/>
    <w:autoRedefine/>
    <w:rsid w:val="00794A12"/>
    <w:pPr>
      <w:spacing w:before="0"/>
    </w:pPr>
    <w:rPr>
      <w:b/>
      <w:color w:val="538135" w:themeColor="accent6" w:themeShade="BF"/>
    </w:rPr>
  </w:style>
  <w:style w:type="character" w:customStyle="1" w:styleId="Green22Char">
    <w:name w:val="Green 22 Char"/>
    <w:basedOn w:val="Heading1Char"/>
    <w:link w:val="Green22"/>
    <w:rsid w:val="00794A12"/>
    <w:rPr>
      <w:rFonts w:asciiTheme="majorHAnsi" w:eastAsiaTheme="majorEastAsia" w:hAnsiTheme="majorHAnsi" w:cstheme="majorBidi"/>
      <w:b/>
      <w:bCs/>
      <w:color w:val="538135" w:themeColor="accent6" w:themeShade="BF"/>
      <w:spacing w:val="-10"/>
      <w:kern w:val="28"/>
      <w:sz w:val="44"/>
      <w:szCs w:val="32"/>
    </w:rPr>
  </w:style>
  <w:style w:type="character" w:customStyle="1" w:styleId="Heading1Char">
    <w:name w:val="Heading 1 Char"/>
    <w:basedOn w:val="DefaultParagraphFont"/>
    <w:link w:val="Heading1"/>
    <w:uiPriority w:val="9"/>
    <w:rsid w:val="00E4648B"/>
    <w:rPr>
      <w:rFonts w:ascii="Aptos Display" w:eastAsiaTheme="majorEastAsia" w:hAnsi="Aptos Display" w:cstheme="majorBidi"/>
      <w:bCs/>
      <w:color w:val="5F5F5F"/>
      <w:kern w:val="28"/>
      <w:sz w:val="52"/>
      <w:szCs w:val="56"/>
    </w:rPr>
  </w:style>
  <w:style w:type="character" w:customStyle="1" w:styleId="Heading2Char">
    <w:name w:val="Heading 2 Char"/>
    <w:basedOn w:val="DefaultParagraphFont"/>
    <w:link w:val="Heading2"/>
    <w:rsid w:val="006834D7"/>
    <w:rPr>
      <w:rFonts w:ascii="Aptos SemiBold" w:eastAsiaTheme="majorEastAsia" w:hAnsi="Aptos SemiBold" w:cstheme="majorBidi"/>
      <w:bCs/>
      <w:color w:val="5F5F5F"/>
      <w:spacing w:val="-10"/>
      <w:kern w:val="28"/>
      <w:sz w:val="24"/>
      <w:szCs w:val="56"/>
    </w:rPr>
  </w:style>
  <w:style w:type="paragraph" w:styleId="Header">
    <w:name w:val="header"/>
    <w:basedOn w:val="Normal"/>
    <w:link w:val="HeaderChar"/>
    <w:unhideWhenUsed/>
    <w:rsid w:val="00C83270"/>
    <w:pPr>
      <w:tabs>
        <w:tab w:val="center" w:pos="4513"/>
        <w:tab w:val="right" w:pos="9026"/>
      </w:tabs>
    </w:pPr>
  </w:style>
  <w:style w:type="character" w:customStyle="1" w:styleId="HeaderChar">
    <w:name w:val="Header Char"/>
    <w:basedOn w:val="DefaultParagraphFont"/>
    <w:link w:val="Header"/>
    <w:rsid w:val="00C83270"/>
  </w:style>
  <w:style w:type="paragraph" w:styleId="Footer">
    <w:name w:val="footer"/>
    <w:basedOn w:val="Normal"/>
    <w:link w:val="FooterChar"/>
    <w:unhideWhenUsed/>
    <w:rsid w:val="00C83270"/>
    <w:pPr>
      <w:tabs>
        <w:tab w:val="center" w:pos="4513"/>
        <w:tab w:val="right" w:pos="9026"/>
      </w:tabs>
    </w:pPr>
  </w:style>
  <w:style w:type="character" w:customStyle="1" w:styleId="FooterChar">
    <w:name w:val="Footer Char"/>
    <w:basedOn w:val="DefaultParagraphFont"/>
    <w:link w:val="Footer"/>
    <w:rsid w:val="00C83270"/>
  </w:style>
  <w:style w:type="character" w:customStyle="1" w:styleId="Heading3Char">
    <w:name w:val="Heading 3 Char"/>
    <w:basedOn w:val="DefaultParagraphFont"/>
    <w:link w:val="Heading3"/>
    <w:uiPriority w:val="9"/>
    <w:rsid w:val="006607CA"/>
    <w:rPr>
      <w:rFonts w:ascii="Aptos SemiBold" w:eastAsiaTheme="majorEastAsia" w:hAnsi="Aptos SemiBold" w:cstheme="majorBidi"/>
      <w:bCs/>
      <w:iCs/>
      <w:color w:val="5F5F5F"/>
      <w:sz w:val="20"/>
      <w:szCs w:val="24"/>
      <w:u w:val="single"/>
    </w:rPr>
  </w:style>
  <w:style w:type="paragraph" w:styleId="Title">
    <w:name w:val="Title"/>
    <w:basedOn w:val="Normal"/>
    <w:next w:val="Normal"/>
    <w:link w:val="TitleChar"/>
    <w:uiPriority w:val="10"/>
    <w:qFormat/>
    <w:rsid w:val="00363B0D"/>
    <w:rPr>
      <w:rFonts w:eastAsiaTheme="majorEastAsia" w:cstheme="majorBidi"/>
      <w:b/>
      <w:color w:val="27639B"/>
      <w:spacing w:val="-10"/>
      <w:kern w:val="28"/>
      <w:sz w:val="44"/>
      <w:szCs w:val="56"/>
    </w:rPr>
  </w:style>
  <w:style w:type="character" w:customStyle="1" w:styleId="TitleChar">
    <w:name w:val="Title Char"/>
    <w:basedOn w:val="DefaultParagraphFont"/>
    <w:link w:val="Title"/>
    <w:uiPriority w:val="10"/>
    <w:rsid w:val="00363B0D"/>
    <w:rPr>
      <w:rFonts w:eastAsiaTheme="majorEastAsia" w:cstheme="majorBidi"/>
      <w:b/>
      <w:color w:val="27639B"/>
      <w:spacing w:val="-10"/>
      <w:kern w:val="28"/>
      <w:sz w:val="44"/>
      <w:szCs w:val="56"/>
    </w:rPr>
  </w:style>
  <w:style w:type="character" w:styleId="Hyperlink">
    <w:name w:val="Hyperlink"/>
    <w:basedOn w:val="DefaultParagraphFont"/>
    <w:uiPriority w:val="99"/>
    <w:unhideWhenUsed/>
    <w:rsid w:val="00363B0D"/>
    <w:rPr>
      <w:color w:val="0563C1" w:themeColor="hyperlink"/>
      <w:u w:val="single"/>
    </w:rPr>
  </w:style>
  <w:style w:type="table" w:styleId="TableGrid">
    <w:name w:val="Table Grid"/>
    <w:basedOn w:val="TableNormal"/>
    <w:uiPriority w:val="39"/>
    <w:rsid w:val="00D93C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12">
    <w:name w:val="Blue 12"/>
    <w:basedOn w:val="Normal"/>
    <w:autoRedefine/>
    <w:rsid w:val="00D93C15"/>
    <w:pPr>
      <w:keepNext/>
      <w:keepLines/>
      <w:outlineLvl w:val="0"/>
    </w:pPr>
    <w:rPr>
      <w:rFonts w:eastAsiaTheme="majorEastAsia" w:cstheme="minorHAnsi"/>
      <w:b/>
      <w:color w:val="27639B"/>
      <w:sz w:val="24"/>
      <w:szCs w:val="48"/>
    </w:rPr>
  </w:style>
  <w:style w:type="paragraph" w:styleId="ListParagraph">
    <w:name w:val="List Paragraph"/>
    <w:aliases w:val="List Paragraph1,List Paragraph11,Recommendation,Numbered paragraph,L,Brief List Paragraph 1,Bullet Point,Bullet point,CV text,Content descriptions,DDM Gen Text,Dot pt,F5 List Paragraph,List Paragraph111,NFP GP Bulleted List,Table text,lp1"/>
    <w:basedOn w:val="Normal"/>
    <w:link w:val="ListParagraphChar"/>
    <w:uiPriority w:val="34"/>
    <w:qFormat/>
    <w:rsid w:val="004F4AE6"/>
    <w:pPr>
      <w:numPr>
        <w:numId w:val="10"/>
      </w:numPr>
      <w:spacing w:before="240" w:after="240"/>
      <w:contextualSpacing/>
      <w:jc w:val="both"/>
    </w:pPr>
    <w:rPr>
      <w:lang w:eastAsia="en-AU"/>
    </w:rPr>
  </w:style>
  <w:style w:type="paragraph" w:customStyle="1" w:styleId="bullet">
    <w:name w:val="bullet"/>
    <w:basedOn w:val="ListParagraph"/>
    <w:link w:val="bulletChar"/>
    <w:autoRedefine/>
    <w:qFormat/>
    <w:rsid w:val="007539B7"/>
    <w:pPr>
      <w:numPr>
        <w:numId w:val="1"/>
      </w:numPr>
      <w:spacing w:before="0" w:after="0"/>
      <w:contextualSpacing w:val="0"/>
      <w:jc w:val="left"/>
    </w:pPr>
  </w:style>
  <w:style w:type="character" w:customStyle="1" w:styleId="ListParagraphChar">
    <w:name w:val="List Paragraph Char"/>
    <w:aliases w:val="List Paragraph1 Char,List Paragraph11 Char,Recommendation Char,Numbered paragraph Char,L Char,Brief List Paragraph 1 Char,Bullet Point Char,Bullet point Char,CV text Char,Content descriptions Char,DDM Gen Text Char,Dot pt Char"/>
    <w:basedOn w:val="DefaultParagraphFont"/>
    <w:link w:val="ListParagraph"/>
    <w:uiPriority w:val="34"/>
    <w:qFormat/>
    <w:rsid w:val="004F4AE6"/>
    <w:rPr>
      <w:rFonts w:ascii="Aptos" w:hAnsi="Aptos"/>
      <w:color w:val="565751"/>
      <w:sz w:val="20"/>
      <w:lang w:eastAsia="en-AU"/>
    </w:rPr>
  </w:style>
  <w:style w:type="character" w:customStyle="1" w:styleId="bulletChar">
    <w:name w:val="bullet Char"/>
    <w:basedOn w:val="ListParagraphChar"/>
    <w:link w:val="bullet"/>
    <w:rsid w:val="00294977"/>
    <w:rPr>
      <w:rFonts w:ascii="Aptos" w:hAnsi="Aptos"/>
      <w:color w:val="565751"/>
      <w:sz w:val="20"/>
      <w:lang w:eastAsia="en-AU"/>
    </w:rPr>
  </w:style>
  <w:style w:type="character" w:customStyle="1" w:styleId="Heading4Char">
    <w:name w:val="Heading 4 Char"/>
    <w:basedOn w:val="DefaultParagraphFont"/>
    <w:link w:val="Heading4"/>
    <w:uiPriority w:val="9"/>
    <w:rsid w:val="00551840"/>
    <w:rPr>
      <w:rFonts w:asciiTheme="majorHAnsi" w:eastAsiaTheme="majorEastAsia" w:hAnsiTheme="majorHAnsi" w:cstheme="majorBidi"/>
      <w:i/>
      <w:iCs/>
      <w:color w:val="2F5496" w:themeColor="accent1" w:themeShade="BF"/>
      <w:sz w:val="20"/>
      <w:u w:val="single"/>
    </w:rPr>
  </w:style>
  <w:style w:type="table" w:customStyle="1" w:styleId="GridTable1Light1">
    <w:name w:val="Grid Table 1 Light1"/>
    <w:basedOn w:val="TableNormal"/>
    <w:next w:val="GridTable1Light"/>
    <w:uiPriority w:val="46"/>
    <w:rsid w:val="00925DF4"/>
    <w:pPr>
      <w:spacing w:after="0" w:line="240" w:lineRule="auto"/>
    </w:pPr>
    <w:rPr>
      <w:rFonts w:ascii="Times New Roman" w:eastAsia="Times New Roman" w:hAnsi="Times New Roman" w:cs="Times New Roman"/>
      <w:kern w:val="0"/>
      <w:sz w:val="20"/>
      <w:szCs w:val="20"/>
      <w:lang w:eastAsia="en-AU"/>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46"/>
    <w:rsid w:val="00925DF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925DF4"/>
    <w:rPr>
      <w:color w:val="605E5C"/>
      <w:shd w:val="clear" w:color="auto" w:fill="E1DFDD"/>
    </w:rPr>
  </w:style>
  <w:style w:type="paragraph" w:customStyle="1" w:styleId="definition">
    <w:name w:val="definition"/>
    <w:basedOn w:val="Normal"/>
    <w:rsid w:val="005355EE"/>
    <w:pPr>
      <w:spacing w:before="100" w:beforeAutospacing="1" w:after="100" w:afterAutospacing="1"/>
    </w:pPr>
    <w:rPr>
      <w:rFonts w:ascii="Times New Roman" w:eastAsia="Times New Roman" w:hAnsi="Times New Roman" w:cs="Times New Roman"/>
      <w:color w:val="auto"/>
      <w:sz w:val="24"/>
      <w:szCs w:val="24"/>
      <w:lang w:eastAsia="en-AU"/>
    </w:rPr>
  </w:style>
  <w:style w:type="paragraph" w:customStyle="1" w:styleId="paragraph">
    <w:name w:val="paragraph"/>
    <w:basedOn w:val="Normal"/>
    <w:rsid w:val="005355EE"/>
    <w:pPr>
      <w:spacing w:before="100" w:beforeAutospacing="1" w:after="100" w:afterAutospacing="1"/>
    </w:pPr>
    <w:rPr>
      <w:rFonts w:ascii="Times New Roman" w:eastAsia="Times New Roman" w:hAnsi="Times New Roman" w:cs="Times New Roman"/>
      <w:color w:val="auto"/>
      <w:sz w:val="24"/>
      <w:szCs w:val="24"/>
      <w:lang w:eastAsia="en-AU"/>
    </w:rPr>
  </w:style>
  <w:style w:type="paragraph" w:customStyle="1" w:styleId="subsection2">
    <w:name w:val="subsection2"/>
    <w:basedOn w:val="Normal"/>
    <w:rsid w:val="005355EE"/>
    <w:pPr>
      <w:spacing w:before="100" w:beforeAutospacing="1" w:after="100" w:afterAutospacing="1"/>
    </w:pPr>
    <w:rPr>
      <w:rFonts w:ascii="Times New Roman" w:eastAsia="Times New Roman" w:hAnsi="Times New Roman" w:cs="Times New Roman"/>
      <w:color w:val="auto"/>
      <w:sz w:val="24"/>
      <w:szCs w:val="24"/>
      <w:lang w:eastAsia="en-AU"/>
    </w:rPr>
  </w:style>
  <w:style w:type="paragraph" w:styleId="Revision">
    <w:name w:val="Revision"/>
    <w:hidden/>
    <w:uiPriority w:val="99"/>
    <w:semiHidden/>
    <w:rsid w:val="00446DE2"/>
    <w:pPr>
      <w:spacing w:after="0" w:line="240" w:lineRule="auto"/>
    </w:pPr>
    <w:rPr>
      <w:color w:val="565751"/>
      <w:sz w:val="20"/>
    </w:rPr>
  </w:style>
  <w:style w:type="character" w:styleId="Strong">
    <w:name w:val="Strong"/>
    <w:uiPriority w:val="22"/>
    <w:qFormat/>
    <w:rsid w:val="00B97440"/>
    <w:rPr>
      <w:rFonts w:ascii="Aptos" w:hAnsi="Aptos"/>
      <w:b/>
      <w:bCs/>
      <w:color w:val="595959" w:themeColor="text1" w:themeTint="A6"/>
      <w:szCs w:val="20"/>
    </w:rPr>
  </w:style>
  <w:style w:type="paragraph" w:customStyle="1" w:styleId="BoxText">
    <w:name w:val="BoxText"/>
    <w:aliases w:val="bt"/>
    <w:basedOn w:val="Normal"/>
    <w:qFormat/>
    <w:rsid w:val="0061363C"/>
    <w:pPr>
      <w:pBdr>
        <w:top w:val="single" w:sz="6" w:space="5" w:color="auto"/>
        <w:left w:val="single" w:sz="6" w:space="5" w:color="auto"/>
        <w:bottom w:val="single" w:sz="6" w:space="5" w:color="auto"/>
        <w:right w:val="single" w:sz="6" w:space="5" w:color="auto"/>
      </w:pBdr>
      <w:spacing w:before="240" w:after="0"/>
      <w:ind w:left="1134"/>
    </w:pPr>
    <w:rPr>
      <w:rFonts w:ascii="Times New Roman" w:eastAsia="Times New Roman" w:hAnsi="Times New Roman" w:cs="Times New Roman"/>
      <w:color w:val="auto"/>
      <w:kern w:val="0"/>
      <w:sz w:val="22"/>
      <w:szCs w:val="20"/>
      <w:lang w:eastAsia="en-AU"/>
      <w14:ligatures w14:val="none"/>
    </w:rPr>
  </w:style>
  <w:style w:type="character" w:styleId="CommentReference">
    <w:name w:val="annotation reference"/>
    <w:basedOn w:val="DefaultParagraphFont"/>
    <w:uiPriority w:val="99"/>
    <w:semiHidden/>
    <w:unhideWhenUsed/>
    <w:rsid w:val="00CD4488"/>
    <w:rPr>
      <w:sz w:val="16"/>
      <w:szCs w:val="16"/>
    </w:rPr>
  </w:style>
  <w:style w:type="paragraph" w:styleId="CommentText">
    <w:name w:val="annotation text"/>
    <w:basedOn w:val="Normal"/>
    <w:link w:val="CommentTextChar"/>
    <w:uiPriority w:val="99"/>
    <w:unhideWhenUsed/>
    <w:rsid w:val="00CD4488"/>
    <w:rPr>
      <w:szCs w:val="20"/>
    </w:rPr>
  </w:style>
  <w:style w:type="character" w:customStyle="1" w:styleId="CommentTextChar">
    <w:name w:val="Comment Text Char"/>
    <w:basedOn w:val="DefaultParagraphFont"/>
    <w:link w:val="CommentText"/>
    <w:uiPriority w:val="99"/>
    <w:rsid w:val="00CD4488"/>
    <w:rPr>
      <w:rFonts w:ascii="Aptos" w:hAnsi="Aptos"/>
      <w:color w:val="565751"/>
      <w:sz w:val="20"/>
      <w:szCs w:val="20"/>
    </w:rPr>
  </w:style>
  <w:style w:type="paragraph" w:styleId="CommentSubject">
    <w:name w:val="annotation subject"/>
    <w:basedOn w:val="CommentText"/>
    <w:next w:val="CommentText"/>
    <w:link w:val="CommentSubjectChar"/>
    <w:uiPriority w:val="99"/>
    <w:semiHidden/>
    <w:unhideWhenUsed/>
    <w:rsid w:val="00CD4488"/>
    <w:rPr>
      <w:b/>
      <w:bCs/>
    </w:rPr>
  </w:style>
  <w:style w:type="character" w:customStyle="1" w:styleId="CommentSubjectChar">
    <w:name w:val="Comment Subject Char"/>
    <w:basedOn w:val="CommentTextChar"/>
    <w:link w:val="CommentSubject"/>
    <w:uiPriority w:val="99"/>
    <w:semiHidden/>
    <w:rsid w:val="00CD4488"/>
    <w:rPr>
      <w:rFonts w:ascii="Aptos" w:hAnsi="Aptos"/>
      <w:b/>
      <w:bCs/>
      <w:color w:val="565751"/>
      <w:sz w:val="20"/>
      <w:szCs w:val="20"/>
    </w:rPr>
  </w:style>
  <w:style w:type="character" w:styleId="Mention">
    <w:name w:val="Mention"/>
    <w:basedOn w:val="DefaultParagraphFont"/>
    <w:uiPriority w:val="99"/>
    <w:unhideWhenUsed/>
    <w:rsid w:val="00F6546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opta.gov.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titles@nopta.gov.au" TargetMode="External"/><Relationship Id="rId7" Type="http://schemas.openxmlformats.org/officeDocument/2006/relationships/styles" Target="styles.xml"/><Relationship Id="rId12" Type="http://schemas.openxmlformats.org/officeDocument/2006/relationships/hyperlink" Target="http://www.comlaw.gov.au/Series/C2006A00014"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nopta.gov.au/_documents/guidelines/Transfers-Dealings-Change-in-Control-and-Other-Titleholder-Transaction.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7012054d-3a07-4b40-940b-a148fc76e5c4">false</_dlc_DocIdPersistId>
    <_dlc_DocIdUrl xmlns="7012054d-3a07-4b40-940b-a148fc76e5c4">
      <Url>https://nopta.sharepoint.com/WST/_layouts/15/DocIdRedir.aspx?ID=NOPTANET-716839524-10624</Url>
      <Description>NOPTANET-716839524-10624</Description>
    </_dlc_DocIdUrl>
    <_dlc_DocId xmlns="7012054d-3a07-4b40-940b-a148fc76e5c4">NOPTANET-716839524-10624</_dlc_DocId>
    <BusinessFunction_Note xmlns="7012054d-3a07-4b40-940b-a148fc76e5c4">
      <Terms xmlns="http://schemas.microsoft.com/office/infopath/2007/PartnerControls"/>
    </BusinessFunction_Note>
    <CaveatCategory xmlns="7012054d-3a07-4b40-940b-a148fc76e5c4">DLM: For Official Use Only</CaveatCategory>
    <FormatVersion xmlns="7012054d-3a07-4b40-940b-a148fc76e5c4">2013</FormatVersion>
    <RecordKeywords xmlns="7012054d-3a07-4b40-940b-a148fc76e5c4" xsi:nil="true"/>
    <lcf76f155ced4ddcb4097134ff3c332f xmlns="0c151cca-57ff-4eaf-a1fe-17d5293d916f">
      <Terms xmlns="http://schemas.microsoft.com/office/infopath/2007/PartnerControls"/>
    </lcf76f155ced4ddcb4097134ff3c332f>
    <RightsStatement xmlns="7012054d-3a07-4b40-940b-a148fc76e5c4">NOPTA Members Only</RightsStatement>
    <CreatingApplicationVersion xmlns="7012054d-3a07-4b40-940b-a148fc76e5c4">2013</CreatingApplicationVersion>
    <DateRangeEnd xmlns="7012054d-3a07-4b40-940b-a148fc76e5c4" xsi:nil="true"/>
    <RecordLocation xmlns="7012054d-3a07-4b40-940b-a148fc76e5c4" xsi:nil="true"/>
    <AGRkMSDescription xmlns="7012054d-3a07-4b40-940b-a148fc76e5c4">Update factsheet</AGRkMSDescription>
    <Team_Note xmlns="7012054d-3a07-4b40-940b-a148fc76e5c4">
      <Terms xmlns="http://schemas.microsoft.com/office/infopath/2007/PartnerControls"/>
    </Team_Note>
    <CaveatText xmlns="7012054d-3a07-4b40-940b-a148fc76e5c4">PSPF</CaveatText>
    <SpatialCoverage xmlns="7012054d-3a07-4b40-940b-a148fc76e5c4">Commonwealth of Australia</SpatialCoverage>
    <NameScheme xmlns="7012054d-3a07-4b40-940b-a148fc76e5c4" xsi:nil="true"/>
    <m3f2ca6b2c9a4802967adedbb4af06ae xmlns="7012054d-3a07-4b40-940b-a148fc76e5c4">
      <Terms xmlns="http://schemas.microsoft.com/office/infopath/2007/PartnerControls"/>
    </m3f2ca6b2c9a4802967adedbb4af06ae>
    <RightsStatus xmlns="7012054d-3a07-4b40-940b-a148fc76e5c4">Open</RightsStatus>
    <KeywordScheme xmlns="7012054d-3a07-4b40-940b-a148fc76e5c4" xsi:nil="true"/>
    <FormatName xmlns="7012054d-3a07-4b40-940b-a148fc76e5c4">Word</FormatName>
    <RecordContactDetails xmlns="7012054d-3a07-4b40-940b-a148fc76e5c4" xsi:nil="true"/>
    <Quantity xmlns="7012054d-3a07-4b40-940b-a148fc76e5c4" xsi:nil="true"/>
    <Medium xmlns="7012054d-3a07-4b40-940b-a148fc76e5c4">Digital File</Medium>
    <DocumentForm xmlns="7012054d-3a07-4b40-940b-a148fc76e5c4" xsi:nil="true"/>
    <KeywordID xmlns="7012054d-3a07-4b40-940b-a148fc76e5c4" xsi:nil="true"/>
    <FormatRegistry xmlns="7012054d-3a07-4b40-940b-a148fc76e5c4">System generated</FormatRegistry>
    <Entity xmlns="7012054d-3a07-4b40-940b-a148fc76e5c4" xsi:nil="true"/>
    <OfNationalSignificance xmlns="7012054d-3a07-4b40-940b-a148fc76e5c4">No</OfNationalSignificance>
    <Precedence xmlns="7012054d-3a07-4b40-940b-a148fc76e5c4" xsi:nil="true"/>
    <TaxCatchAll xmlns="7012054d-3a07-4b40-940b-a148fc76e5c4" xsi:nil="true"/>
    <Identifier xmlns="7012054d-3a07-4b40-940b-a148fc76e5c4">0</Identifier>
    <RecordContact xmlns="7012054d-3a07-4b40-940b-a148fc76e5c4">
      <UserInfo>
        <DisplayName/>
        <AccountId xsi:nil="true"/>
        <AccountType/>
      </UserInfo>
    </RecordContact>
    <RecordExtentUnits xmlns="7012054d-3a07-4b40-940b-a148fc76e5c4" xsi:nil="true"/>
    <RecordExtent xmlns="7012054d-3a07-4b40-940b-a148fc76e5c4" xsi:nil="true"/>
    <DocumentType_Note xmlns="7012054d-3a07-4b40-940b-a148fc76e5c4">
      <Terms xmlns="http://schemas.microsoft.com/office/infopath/2007/PartnerControls"/>
    </DocumentType_Note>
    <pfcb0be319e247388db2251ff9d23f72 xmlns="7012054d-3a07-4b40-940b-a148fc76e5c4">
      <Terms xmlns="http://schemas.microsoft.com/office/infopath/2007/PartnerControls"/>
    </pfcb0be319e247388db2251ff9d23f72>
    <AGRkMSLanguage xmlns="7012054d-3a07-4b40-940b-a148fc76e5c4">en-au</AGRkMSLanguage>
    <MessageDigest xmlns="7012054d-3a07-4b40-940b-a148fc76e5c4" xsi:nil="true"/>
    <TemporalCoverage xmlns="7012054d-3a07-4b40-940b-a148fc76e5c4" xsi:nil="true"/>
    <HashFunctionName xmlns="7012054d-3a07-4b40-940b-a148fc76e5c4">MD5</HashFunctionName>
    <DateRangeStart xmlns="7012054d-3a07-4b40-940b-a148fc76e5c4" xsi:nil="true"/>
    <AGRkMSCategory xmlns="7012054d-3a07-4b40-940b-a148fc76e5c4">Item</AGRkMSCategory>
    <JurisdictionalCoverage xmlns="7012054d-3a07-4b40-940b-a148fc76e5c4">
      <Value>Commonwealth of Australia (AU)</Value>
    </JurisdictionalCoverage>
    <RightsType xmlns="7012054d-3a07-4b40-940b-a148fc76e5c4">Use Permission</RightsType>
    <TaxKeywordTaxHTField xmlns="7012054d-3a07-4b40-940b-a148fc76e5c4">
      <Terms xmlns="http://schemas.microsoft.com/office/infopath/2007/PartnerControls"/>
    </TaxKeywordTaxHTField>
    <g91dc4f691a04421b1edf463601fabf6 xmlns="7012054d-3a07-4b40-940b-a148fc76e5c4">
      <Terms xmlns="http://schemas.microsoft.com/office/infopath/2007/PartnerControls"/>
    </g91dc4f691a04421b1edf463601fabf6>
    <KeywordSchemeType xmlns="7012054d-3a07-4b40-940b-a148fc76e5c4" xsi:nil="true"/>
    <CreatingApplicationName xmlns="7012054d-3a07-4b40-940b-a148fc76e5c4">Microsoft Word</CreatingApplicationName>
    <Units xmlns="7012054d-3a07-4b40-940b-a148fc76e5c4">KB</Units>
    <Titles_Note xmlns="7012054d-3a07-4b40-940b-a148fc76e5c4">
      <Terms xmlns="http://schemas.microsoft.com/office/infopath/2007/PartnerControls"/>
    </Titles_Note>
    <SecurityClassification xmlns="7012054d-3a07-4b40-940b-a148fc76e5c4">OFFICIAL</SecurityClassification>
    <Jurisdiction xmlns="7012054d-3a07-4b40-940b-a148fc76e5c4">
      <Value>AU</Value>
    </Jurisdiction>
    <IdentifierScheme xmlns="7012054d-3a07-4b40-940b-a148fc76e5c4">RecordPoint</IdentifierScheme>
  </documentManagement>
</p:properties>
</file>

<file path=customXml/item2.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8D6201-7D51-4BA3-90D1-10CE0DEC280E}">
  <ds:schemaRefs>
    <ds:schemaRef ds:uri="http://schemas.microsoft.com/office/2006/metadata/properties"/>
    <ds:schemaRef ds:uri="http://schemas.microsoft.com/office/infopath/2007/PartnerControls"/>
    <ds:schemaRef ds:uri="7012054d-3a07-4b40-940b-a148fc76e5c4"/>
    <ds:schemaRef ds:uri="0c151cca-57ff-4eaf-a1fe-17d5293d916f"/>
  </ds:schemaRefs>
</ds:datastoreItem>
</file>

<file path=customXml/itemProps2.xml><?xml version="1.0" encoding="utf-8"?>
<ds:datastoreItem xmlns:ds="http://schemas.openxmlformats.org/officeDocument/2006/customXml" ds:itemID="{98965679-0F1A-415E-8E5A-CE6B30A487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0c151cca-57ff-4eaf-a1fe-17d5293d916f"/>
    <ds:schemaRef ds:uri="fc2865bc-0dc2-4954-a701-dad5dba2b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D0298D-B73F-4F76-94E8-8ACF3FC46915}">
  <ds:schemaRefs>
    <ds:schemaRef ds:uri="http://schemas.openxmlformats.org/officeDocument/2006/bibliography"/>
  </ds:schemaRefs>
</ds:datastoreItem>
</file>

<file path=customXml/itemProps4.xml><?xml version="1.0" encoding="utf-8"?>
<ds:datastoreItem xmlns:ds="http://schemas.openxmlformats.org/officeDocument/2006/customXml" ds:itemID="{062F4340-0B07-4324-AEB5-FDE6A5776489}">
  <ds:schemaRefs>
    <ds:schemaRef ds:uri="http://schemas.microsoft.com/sharepoint/events"/>
  </ds:schemaRefs>
</ds:datastoreItem>
</file>

<file path=customXml/itemProps5.xml><?xml version="1.0" encoding="utf-8"?>
<ds:datastoreItem xmlns:ds="http://schemas.openxmlformats.org/officeDocument/2006/customXml" ds:itemID="{B50C9C2C-3D42-4807-9CA8-E2965D3164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742</Words>
  <Characters>4074</Characters>
  <Application>Microsoft Office Word</Application>
  <DocSecurity>0</DocSecurity>
  <Lines>129</Lines>
  <Paragraphs>59</Paragraphs>
  <ScaleCrop>false</ScaleCrop>
  <HeadingPairs>
    <vt:vector size="2" baseType="variant">
      <vt:variant>
        <vt:lpstr>Title</vt:lpstr>
      </vt:variant>
      <vt:variant>
        <vt:i4>1</vt:i4>
      </vt:variant>
    </vt:vector>
  </HeadingPairs>
  <TitlesOfParts>
    <vt:vector size="1" baseType="lpstr">
      <vt:lpstr/>
    </vt:vector>
  </TitlesOfParts>
  <Company>National Offshore Petroleum Titles Administrator</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Belcher</dc:creator>
  <cp:keywords/>
  <dc:description/>
  <cp:lastModifiedBy>Lenore McGregor</cp:lastModifiedBy>
  <cp:revision>2</cp:revision>
  <dcterms:created xsi:type="dcterms:W3CDTF">2026-03-05T03:34:00Z</dcterms:created>
  <dcterms:modified xsi:type="dcterms:W3CDTF">2026-03-05T03:34:00Z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2024-02-19T06:50:55Z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6d648ca7-ae83-42a8-a286-be92b74773d0</vt:lpwstr>
  </property>
  <property fmtid="{D5CDD505-2E9C-101B-9397-08002B2CF9AE}" pid="8" name="MSIP_Label_93cd4f2a-0040-47df-a467-7cba635d669c_ContentBits">
    <vt:lpwstr>0</vt:lpwstr>
  </property>
  <property fmtid="{D5CDD505-2E9C-101B-9397-08002B2CF9AE}" pid="9" name="TaxKeyword">
    <vt:lpwstr/>
  </property>
  <property fmtid="{D5CDD505-2E9C-101B-9397-08002B2CF9AE}" pid="10" name="RecordPoint_RecordNumberSubmitted">
    <vt:lpwstr>R0000164496</vt:lpwstr>
  </property>
  <property fmtid="{D5CDD505-2E9C-101B-9397-08002B2CF9AE}" pid="11" name="DocumentSetDescription">
    <vt:lpwstr>Fact sheet on supplementary instruments for petroleum title dealings, with sample SI and guidance notes</vt:lpwstr>
  </property>
  <property fmtid="{D5CDD505-2E9C-101B-9397-08002B2CF9AE}" pid="12" name="RightsStatus">
    <vt:lpwstr>Open</vt:lpwstr>
  </property>
  <property fmtid="{D5CDD505-2E9C-101B-9397-08002B2CF9AE}" pid="13" name="ComplianceAssetId">
    <vt:lpwstr/>
  </property>
  <property fmtid="{D5CDD505-2E9C-101B-9397-08002B2CF9AE}" pid="14" name="RecordPoint_WorkflowType">
    <vt:lpwstr>ActiveSubmitStub</vt:lpwstr>
  </property>
  <property fmtid="{D5CDD505-2E9C-101B-9397-08002B2CF9AE}" pid="15" name="TemplateUrl">
    <vt:lpwstr/>
  </property>
  <property fmtid="{D5CDD505-2E9C-101B-9397-08002B2CF9AE}" pid="16" name="Titles">
    <vt:lpwstr/>
  </property>
  <property fmtid="{D5CDD505-2E9C-101B-9397-08002B2CF9AE}" pid="17" name="FormatName">
    <vt:lpwstr>Word</vt:lpwstr>
  </property>
  <property fmtid="{D5CDD505-2E9C-101B-9397-08002B2CF9AE}" pid="18" name="Title Type">
    <vt:lpwstr/>
  </property>
  <property fmtid="{D5CDD505-2E9C-101B-9397-08002B2CF9AE}" pid="19" name="JurisdictionalCoverage">
    <vt:lpwstr>;#Commonwealth of Australia (AU);#</vt:lpwstr>
  </property>
  <property fmtid="{D5CDD505-2E9C-101B-9397-08002B2CF9AE}" pid="20" name="RecordPoint_ActiveItemSiteId">
    <vt:lpwstr>{d02ec70a-6101-41fa-8072-ecbec6fd4fd8}</vt:lpwstr>
  </property>
  <property fmtid="{D5CDD505-2E9C-101B-9397-08002B2CF9AE}" pid="21" name="CaveatText">
    <vt:lpwstr>PSPF</vt:lpwstr>
  </property>
  <property fmtid="{D5CDD505-2E9C-101B-9397-08002B2CF9AE}" pid="22" name="NodRecalculate">
    <vt:bool>true</vt:bool>
  </property>
  <property fmtid="{D5CDD505-2E9C-101B-9397-08002B2CF9AE}" pid="23" name="RecordPoint_ActiveItemListId">
    <vt:lpwstr>{478775bc-9c4f-4f34-ba66-087519ae94a1}</vt:lpwstr>
  </property>
  <property fmtid="{D5CDD505-2E9C-101B-9397-08002B2CF9AE}" pid="24" name="RecordPoint_SubmissionCompleted">
    <vt:lpwstr>2018-10-04T13:09:04.9781436+08:00</vt:lpwstr>
  </property>
  <property fmtid="{D5CDD505-2E9C-101B-9397-08002B2CF9AE}" pid="25" name="Comments">
    <vt:lpwstr/>
  </property>
  <property fmtid="{D5CDD505-2E9C-101B-9397-08002B2CF9AE}" pid="26" name="_docset_NoMedatataSyncRequired">
    <vt:lpwstr>False</vt:lpwstr>
  </property>
  <property fmtid="{D5CDD505-2E9C-101B-9397-08002B2CF9AE}" pid="27" name="Offshore Region">
    <vt:lpwstr/>
  </property>
  <property fmtid="{D5CDD505-2E9C-101B-9397-08002B2CF9AE}" pid="28" name="FormatVersion">
    <vt:lpwstr>2013</vt:lpwstr>
  </property>
  <property fmtid="{D5CDD505-2E9C-101B-9397-08002B2CF9AE}" pid="29" name="CreatingApplicationVersion">
    <vt:lpwstr>2013</vt:lpwstr>
  </property>
  <property fmtid="{D5CDD505-2E9C-101B-9397-08002B2CF9AE}" pid="30" name="URL">
    <vt:lpwstr/>
  </property>
  <property fmtid="{D5CDD505-2E9C-101B-9397-08002B2CF9AE}" pid="31" name="RightsStatement">
    <vt:lpwstr>NOPTA Members Only</vt:lpwstr>
  </property>
  <property fmtid="{D5CDD505-2E9C-101B-9397-08002B2CF9AE}" pid="32" name="xd_Signature">
    <vt:bool>false</vt:bool>
  </property>
  <property fmtid="{D5CDD505-2E9C-101B-9397-08002B2CF9AE}" pid="33" name="Application Library">
    <vt:lpwstr/>
  </property>
  <property fmtid="{D5CDD505-2E9C-101B-9397-08002B2CF9AE}" pid="34" name="IdentifierScheme">
    <vt:lpwstr>RecordPoint</vt:lpwstr>
  </property>
  <property fmtid="{D5CDD505-2E9C-101B-9397-08002B2CF9AE}" pid="35" name="HashFunctionName">
    <vt:lpwstr>MD5</vt:lpwstr>
  </property>
  <property fmtid="{D5CDD505-2E9C-101B-9397-08002B2CF9AE}" pid="36" name="RecordPoint_ActiveItemWebId">
    <vt:lpwstr>{534ecb78-ceec-4263-97fc-d32ad715d31f}</vt:lpwstr>
  </property>
  <property fmtid="{D5CDD505-2E9C-101B-9397-08002B2CF9AE}" pid="37" name="Team">
    <vt:lpwstr/>
  </property>
  <property fmtid="{D5CDD505-2E9C-101B-9397-08002B2CF9AE}" pid="38" name="SpatialCoverage">
    <vt:lpwstr>Commonwealth of Australia</vt:lpwstr>
  </property>
  <property fmtid="{D5CDD505-2E9C-101B-9397-08002B2CF9AE}" pid="39" name="Medium">
    <vt:lpwstr>Digital File</vt:lpwstr>
  </property>
  <property fmtid="{D5CDD505-2E9C-101B-9397-08002B2CF9AE}" pid="40" name="RightsType">
    <vt:lpwstr>Use Permission</vt:lpwstr>
  </property>
  <property fmtid="{D5CDD505-2E9C-101B-9397-08002B2CF9AE}" pid="41" name="FormatRegistry">
    <vt:lpwstr>System generated</vt:lpwstr>
  </property>
  <property fmtid="{D5CDD505-2E9C-101B-9397-08002B2CF9AE}" pid="42" name="NodAuthors">
    <vt:lpwstr>75;#i:0#.f|membership|mark.price@nopta.gov.au</vt:lpwstr>
  </property>
  <property fmtid="{D5CDD505-2E9C-101B-9397-08002B2CF9AE}" pid="43" name="Business Function">
    <vt:lpwstr>8089;#Dealings|97d644ea-3c6c-4370-877c-43ccc4b2a821</vt:lpwstr>
  </property>
  <property fmtid="{D5CDD505-2E9C-101B-9397-08002B2CF9AE}" pid="44" name="_dlc_DocIdItemGuid">
    <vt:lpwstr>716bdc5c-c8ce-44f2-9163-dbde8fe13307</vt:lpwstr>
  </property>
  <property fmtid="{D5CDD505-2E9C-101B-9397-08002B2CF9AE}" pid="45" name="DocumentType">
    <vt:lpwstr/>
  </property>
  <property fmtid="{D5CDD505-2E9C-101B-9397-08002B2CF9AE}" pid="46" name="Of National Significance">
    <vt:lpwstr>No</vt:lpwstr>
  </property>
  <property fmtid="{D5CDD505-2E9C-101B-9397-08002B2CF9AE}" pid="47" name="Identifier">
    <vt:r8>0</vt:r8>
  </property>
  <property fmtid="{D5CDD505-2E9C-101B-9397-08002B2CF9AE}" pid="48" name="TriggerFlowInfo">
    <vt:lpwstr/>
  </property>
  <property fmtid="{D5CDD505-2E9C-101B-9397-08002B2CF9AE}" pid="49" name="BusinessFunction_Note">
    <vt:lpwstr>Dealings|97d644ea-3c6c-4370-877c-43ccc4b2a821</vt:lpwstr>
  </property>
  <property fmtid="{D5CDD505-2E9C-101B-9397-08002B2CF9AE}" pid="50" name="RecordPoint_ActiveItemUniqueId">
    <vt:lpwstr>{d5b71334-00e2-487a-aefc-84304204e32c}</vt:lpwstr>
  </property>
  <property fmtid="{D5CDD505-2E9C-101B-9397-08002B2CF9AE}" pid="51" name="AGRkMSCategory">
    <vt:lpwstr>Item</vt:lpwstr>
  </property>
  <property fmtid="{D5CDD505-2E9C-101B-9397-08002B2CF9AE}" pid="52" name="CreatingApplicationName">
    <vt:lpwstr>Microsoft Word</vt:lpwstr>
  </property>
  <property fmtid="{D5CDD505-2E9C-101B-9397-08002B2CF9AE}" pid="53" name="AGRkMSLanguage">
    <vt:lpwstr>en-au</vt:lpwstr>
  </property>
  <property fmtid="{D5CDD505-2E9C-101B-9397-08002B2CF9AE}" pid="54" name="AGRkMSDescription">
    <vt:lpwstr>Update factsheet</vt:lpwstr>
  </property>
  <property fmtid="{D5CDD505-2E9C-101B-9397-08002B2CF9AE}" pid="55" name="Units">
    <vt:lpwstr>KB</vt:lpwstr>
  </property>
  <property fmtid="{D5CDD505-2E9C-101B-9397-08002B2CF9AE}" pid="56" name="Jurisdiction">
    <vt:lpwstr>;#AU;#</vt:lpwstr>
  </property>
  <property fmtid="{D5CDD505-2E9C-101B-9397-08002B2CF9AE}" pid="57" name="CaveatCategory">
    <vt:lpwstr>DLM: For Official Use Only</vt:lpwstr>
  </property>
  <property fmtid="{D5CDD505-2E9C-101B-9397-08002B2CF9AE}" pid="58" name="xd_ProgID">
    <vt:lpwstr/>
  </property>
  <property fmtid="{D5CDD505-2E9C-101B-9397-08002B2CF9AE}" pid="59" name="ContentTypeId">
    <vt:lpwstr>0x01010063547D135F865547B104B3688A6EB0DB1400F03BA615DEB94544B0E4AA523FDA1B39</vt:lpwstr>
  </property>
  <property fmtid="{D5CDD505-2E9C-101B-9397-08002B2CF9AE}" pid="60" name="SecurityClassification">
    <vt:lpwstr>OFFICIAL</vt:lpwstr>
  </property>
  <property fmtid="{D5CDD505-2E9C-101B-9397-08002B2CF9AE}" pid="61" name="TaxKeywordTaxHTField">
    <vt:lpwstr>Fact Sheet|c8106091-7e43-4935-8b69-58d4615415a2;licence|751caf99-cf67-4a67-b81d-19b7f3d217eb;pipeline|9c565464-405c-4d9e-9c8e-3dc6cb940f6f</vt:lpwstr>
  </property>
  <property fmtid="{D5CDD505-2E9C-101B-9397-08002B2CF9AE}" pid="62" name="NodRisk">
    <vt:lpwstr>Low</vt:lpwstr>
  </property>
  <property fmtid="{D5CDD505-2E9C-101B-9397-08002B2CF9AE}" pid="63" name="OfNationalSignificance">
    <vt:lpwstr>No</vt:lpwstr>
  </property>
  <property fmtid="{D5CDD505-2E9C-101B-9397-08002B2CF9AE}" pid="64" name="_ExtendedDescription">
    <vt:lpwstr/>
  </property>
  <property fmtid="{D5CDD505-2E9C-101B-9397-08002B2CF9AE}" pid="65" name="NodTeamOwner">
    <vt:lpwstr>Titles</vt:lpwstr>
  </property>
  <property fmtid="{D5CDD505-2E9C-101B-9397-08002B2CF9AE}" pid="66" name="NodDocumentUtility">
    <vt:lpwstr>;#External;#</vt:lpwstr>
  </property>
  <property fmtid="{D5CDD505-2E9C-101B-9397-08002B2CF9AE}" pid="67" name="NodCategory">
    <vt:lpwstr>Application</vt:lpwstr>
  </property>
  <property fmtid="{D5CDD505-2E9C-101B-9397-08002B2CF9AE}" pid="68" name="NodDocumentType">
    <vt:lpwstr>Factsheet</vt:lpwstr>
  </property>
  <property fmtid="{D5CDD505-2E9C-101B-9397-08002B2CF9AE}" pid="69" name="Title_x0020_Type">
    <vt:lpwstr/>
  </property>
  <property fmtid="{D5CDD505-2E9C-101B-9397-08002B2CF9AE}" pid="70" name="Offshore_x0020_Region">
    <vt:lpwstr/>
  </property>
  <property fmtid="{D5CDD505-2E9C-101B-9397-08002B2CF9AE}" pid="71" name="Application_x0020_Library">
    <vt:lpwstr/>
  </property>
  <property fmtid="{D5CDD505-2E9C-101B-9397-08002B2CF9AE}" pid="72" name="MediaServiceImageTags">
    <vt:lpwstr/>
  </property>
</Properties>
</file>