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2C85" w14:textId="77777777" w:rsidR="00062C6B" w:rsidRPr="00062C6B" w:rsidRDefault="00062C6B" w:rsidP="006F4F5B">
      <w:pPr>
        <w:pStyle w:val="Heading1"/>
      </w:pPr>
      <w:r w:rsidRPr="00062C6B">
        <w:t>Cessation of pipeline operations and/or cessation of petroleum production</w:t>
      </w:r>
    </w:p>
    <w:p w14:paraId="5145AA12" w14:textId="5CEEEB7E" w:rsidR="00363B0D" w:rsidRPr="00062C6B" w:rsidRDefault="00363B0D" w:rsidP="007433E4">
      <w:pPr>
        <w:widowControl w:val="0"/>
        <w:pBdr>
          <w:bottom w:val="single" w:sz="4" w:space="6" w:color="565751"/>
        </w:pBdr>
        <w:spacing w:after="120"/>
      </w:pPr>
      <w:r w:rsidRPr="046A24D5">
        <w:rPr>
          <w:kern w:val="0"/>
          <w:lang w:eastAsia="en-AU"/>
        </w:rPr>
        <w:t xml:space="preserve">All fact sheets </w:t>
      </w:r>
      <w:r w:rsidRPr="046A24D5">
        <w:rPr>
          <w:kern w:val="0"/>
        </w:rPr>
        <w:t xml:space="preserve">should be read in conjunction with the </w:t>
      </w:r>
      <w:hyperlink r:id="rId11">
        <w:r w:rsidRPr="046A24D5">
          <w:rPr>
            <w:rStyle w:val="Hyperlink"/>
            <w:i/>
            <w:iCs/>
            <w:kern w:val="0"/>
          </w:rPr>
          <w:t>Offshore Petroleum and Greenhouse Gas Storage Act 2006</w:t>
        </w:r>
      </w:hyperlink>
      <w:r w:rsidRPr="046A24D5">
        <w:rPr>
          <w:i/>
          <w:iCs/>
          <w:kern w:val="0"/>
        </w:rPr>
        <w:t xml:space="preserve"> </w:t>
      </w:r>
      <w:r w:rsidRPr="046A24D5">
        <w:rPr>
          <w:kern w:val="0"/>
        </w:rPr>
        <w:t>(</w:t>
      </w:r>
      <w:r w:rsidRPr="0081229B">
        <w:rPr>
          <w:rStyle w:val="Strong"/>
        </w:rPr>
        <w:t>the OPGGS Act</w:t>
      </w:r>
      <w:r w:rsidRPr="046A24D5">
        <w:rPr>
          <w:kern w:val="0"/>
        </w:rPr>
        <w:t xml:space="preserve">), associated regulations, relevant guidelines and policies (available on </w:t>
      </w:r>
      <w:hyperlink r:id="rId12">
        <w:r w:rsidRPr="046A24D5">
          <w:rPr>
            <w:rStyle w:val="Hyperlink"/>
            <w:kern w:val="0"/>
          </w:rPr>
          <w:t>NOPTA’s website</w:t>
        </w:r>
      </w:hyperlink>
      <w:r w:rsidRPr="046A24D5">
        <w:rPr>
          <w:kern w:val="0"/>
        </w:rPr>
        <w:t>).</w:t>
      </w:r>
    </w:p>
    <w:p w14:paraId="2BE5BA62" w14:textId="77777777" w:rsidR="00D93C15" w:rsidRPr="00062C6B" w:rsidRDefault="00D93C15" w:rsidP="007910D4">
      <w:pPr>
        <w:widowControl w:val="0"/>
        <w:rPr>
          <w:kern w:val="0"/>
        </w:rPr>
        <w:sectPr w:rsidR="00D93C15" w:rsidRPr="00062C6B" w:rsidSect="00CF3910">
          <w:headerReference w:type="even" r:id="rId13"/>
          <w:headerReference w:type="default" r:id="rId14"/>
          <w:footerReference w:type="even" r:id="rId15"/>
          <w:footerReference w:type="default" r:id="rId16"/>
          <w:headerReference w:type="first" r:id="rId17"/>
          <w:footerReference w:type="first" r:id="rId18"/>
          <w:pgSz w:w="11906" w:h="16838"/>
          <w:pgMar w:top="2552" w:right="851" w:bottom="851" w:left="851" w:header="709" w:footer="454" w:gutter="0"/>
          <w:cols w:space="708"/>
          <w:docGrid w:linePitch="360"/>
        </w:sectPr>
      </w:pPr>
    </w:p>
    <w:p w14:paraId="39891DEA" w14:textId="6EAB15AF" w:rsidR="00062C6B" w:rsidRDefault="00062C6B" w:rsidP="004D3B68">
      <w:pPr>
        <w:spacing w:after="120"/>
      </w:pPr>
      <w:r>
        <w:t xml:space="preserve">This fact sheet provides information about regulatory approvals and considerations that may be required </w:t>
      </w:r>
      <w:r w:rsidRPr="003E4853">
        <w:rPr>
          <w:u w:val="single"/>
        </w:rPr>
        <w:t>prior</w:t>
      </w:r>
      <w:r>
        <w:t xml:space="preserve"> to ceasing either (or both) of:</w:t>
      </w:r>
    </w:p>
    <w:p w14:paraId="5C4D76B1" w14:textId="77777777" w:rsidR="00062C6B" w:rsidRPr="006F4F5B" w:rsidRDefault="00062C6B" w:rsidP="00CF3910">
      <w:pPr>
        <w:pStyle w:val="ListParagraph"/>
        <w:spacing w:before="120"/>
      </w:pPr>
      <w:r w:rsidRPr="006F4F5B">
        <w:t xml:space="preserve">operation of a pipeline; or </w:t>
      </w:r>
    </w:p>
    <w:p w14:paraId="22CF5897" w14:textId="77777777" w:rsidR="00062C6B" w:rsidRDefault="00062C6B" w:rsidP="00CF3910">
      <w:pPr>
        <w:pStyle w:val="ListParagraph"/>
        <w:spacing w:before="120"/>
      </w:pPr>
      <w:r w:rsidRPr="006F4F5B">
        <w:t>production from a petroleum field within a petroleum production licence</w:t>
      </w:r>
      <w:r>
        <w:t>.</w:t>
      </w:r>
    </w:p>
    <w:p w14:paraId="07866F1A" w14:textId="77777777" w:rsidR="00062C6B" w:rsidRPr="005942A6" w:rsidRDefault="00062C6B" w:rsidP="008E4254">
      <w:pPr>
        <w:pStyle w:val="Heading2"/>
      </w:pPr>
      <w:r w:rsidRPr="005942A6">
        <w:t>Approvals required</w:t>
      </w:r>
    </w:p>
    <w:p w14:paraId="4B60EE8B" w14:textId="4A1C3C64" w:rsidR="00062C6B" w:rsidRPr="003E4853" w:rsidRDefault="00062C6B" w:rsidP="00CF3910">
      <w:pPr>
        <w:spacing w:after="120"/>
        <w:rPr>
          <w:color w:val="5F5F5F"/>
        </w:rPr>
      </w:pPr>
      <w:r>
        <w:rPr>
          <w:color w:val="5F5F5F"/>
        </w:rPr>
        <w:t xml:space="preserve">Under the OPGGS </w:t>
      </w:r>
      <w:r w:rsidRPr="0086242B">
        <w:rPr>
          <w:color w:val="5F5F5F"/>
        </w:rPr>
        <w:t>Act</w:t>
      </w:r>
      <w:r>
        <w:rPr>
          <w:color w:val="5F5F5F"/>
        </w:rPr>
        <w:t xml:space="preserve"> and the </w:t>
      </w:r>
      <w:hyperlink r:id="rId19" w:history="1">
        <w:r w:rsidR="0052303E" w:rsidRPr="00632977">
          <w:rPr>
            <w:rStyle w:val="Hyperlink"/>
            <w:i/>
            <w:iCs/>
          </w:rPr>
          <w:t>Offshore Petroleum and Greenhouse Gas (Resource Management and Administration) Regulations 20</w:t>
        </w:r>
        <w:r w:rsidR="0052303E">
          <w:rPr>
            <w:rStyle w:val="Hyperlink"/>
            <w:i/>
            <w:iCs/>
          </w:rPr>
          <w:t>25</w:t>
        </w:r>
      </w:hyperlink>
      <w:r w:rsidR="0052303E" w:rsidRPr="00632977">
        <w:rPr>
          <w:rStyle w:val="Hyperlink"/>
          <w:u w:val="none"/>
        </w:rPr>
        <w:t xml:space="preserve"> </w:t>
      </w:r>
      <w:r w:rsidRPr="00632977">
        <w:rPr>
          <w:rStyle w:val="Hyperlink"/>
          <w:color w:val="5F5F5F"/>
          <w:u w:val="none"/>
        </w:rPr>
        <w:t>(</w:t>
      </w:r>
      <w:r w:rsidR="00632977" w:rsidRPr="0081229B">
        <w:rPr>
          <w:rStyle w:val="Strong"/>
        </w:rPr>
        <w:t xml:space="preserve">the </w:t>
      </w:r>
      <w:r w:rsidRPr="0081229B">
        <w:rPr>
          <w:rStyle w:val="Strong"/>
        </w:rPr>
        <w:t>RMA Regulations</w:t>
      </w:r>
      <w:r w:rsidRPr="00632977">
        <w:rPr>
          <w:rStyle w:val="Hyperlink"/>
          <w:color w:val="5F5F5F"/>
          <w:u w:val="none"/>
        </w:rPr>
        <w:t xml:space="preserve">) </w:t>
      </w:r>
      <w:r w:rsidRPr="003E4853">
        <w:rPr>
          <w:color w:val="5F5F5F"/>
        </w:rPr>
        <w:t>titleholders must:</w:t>
      </w:r>
    </w:p>
    <w:p w14:paraId="60AC29E1" w14:textId="77777777" w:rsidR="00062C6B" w:rsidRPr="006F4F5B" w:rsidRDefault="00062C6B" w:rsidP="000218C4">
      <w:pPr>
        <w:pStyle w:val="bullet"/>
      </w:pPr>
      <w:r w:rsidRPr="006F4F5B">
        <w:t>obtain the consent of the Joint Authority prior to ceasing to operate a pipeline; and</w:t>
      </w:r>
    </w:p>
    <w:p w14:paraId="47CF7F58" w14:textId="77777777" w:rsidR="00062C6B" w:rsidRPr="006F4F5B" w:rsidRDefault="00062C6B" w:rsidP="000218C4">
      <w:pPr>
        <w:pStyle w:val="bullet"/>
      </w:pPr>
      <w:r w:rsidRPr="006F4F5B">
        <w:t>apply for acceptance of a variation of a field development plan (</w:t>
      </w:r>
      <w:r w:rsidRPr="00CF3910">
        <w:rPr>
          <w:rStyle w:val="Strong"/>
        </w:rPr>
        <w:t>FDP</w:t>
      </w:r>
      <w:r w:rsidRPr="006F4F5B">
        <w:t>), if the cessation of production from the petroleum field(s) occurs before the date(s) proposed in the accepted field development plan (see below).</w:t>
      </w:r>
    </w:p>
    <w:p w14:paraId="7E552E4E" w14:textId="4868DBDA" w:rsidR="00062C6B" w:rsidRDefault="00062C6B">
      <w:pPr>
        <w:pStyle w:val="BodyText"/>
      </w:pPr>
      <w:bookmarkStart w:id="0" w:name="_Hlk66177108"/>
      <w:r>
        <w:t>It is important to notify NOPTA</w:t>
      </w:r>
      <w:r w:rsidR="00632977">
        <w:t xml:space="preserve">, </w:t>
      </w:r>
      <w:r>
        <w:t xml:space="preserve">who will also inform </w:t>
      </w:r>
      <w:r w:rsidR="00632977" w:rsidRPr="00632977">
        <w:t>the National Offshore Petroleum Safety and Environmental Management Authority (</w:t>
      </w:r>
      <w:r w:rsidR="00632977" w:rsidRPr="00632977">
        <w:rPr>
          <w:b/>
          <w:bCs/>
        </w:rPr>
        <w:t>NOPSEMA</w:t>
      </w:r>
      <w:r w:rsidR="00632977" w:rsidRPr="00632977">
        <w:t>)</w:t>
      </w:r>
      <w:r w:rsidR="00632977">
        <w:t xml:space="preserve"> </w:t>
      </w:r>
      <w:r>
        <w:t>before a long-term or permanent cessation of production to assist both NOPTA and NOPSEMA to undertake their regulatory functions.</w:t>
      </w:r>
      <w:bookmarkEnd w:id="0"/>
    </w:p>
    <w:p w14:paraId="24DE5049" w14:textId="77777777" w:rsidR="00062C6B" w:rsidRDefault="00062C6B" w:rsidP="008E4254">
      <w:pPr>
        <w:pStyle w:val="Heading2"/>
      </w:pPr>
      <w:r w:rsidRPr="046A24D5">
        <w:t>Ceasing to operate a pipeline</w:t>
      </w:r>
    </w:p>
    <w:p w14:paraId="7FBAD45C" w14:textId="77777777" w:rsidR="00062C6B" w:rsidRDefault="00062C6B" w:rsidP="00CF3910">
      <w:pPr>
        <w:spacing w:after="120"/>
      </w:pPr>
      <w:r>
        <w:t>Section 228 of the OPGGS Act requires a</w:t>
      </w:r>
      <w:r w:rsidRPr="002C1CFF">
        <w:t xml:space="preserve"> pipeline licen</w:t>
      </w:r>
      <w:r>
        <w:t>se</w:t>
      </w:r>
      <w:r w:rsidRPr="002C1CFF">
        <w:t xml:space="preserve">e </w:t>
      </w:r>
      <w:r>
        <w:t xml:space="preserve">to obtain the consent of </w:t>
      </w:r>
      <w:r w:rsidRPr="00270B3E">
        <w:t>the Joint Authorit</w:t>
      </w:r>
      <w:r>
        <w:t>y prior to ceasing to operate a pipeline</w:t>
      </w:r>
      <w:r>
        <w:rPr>
          <w:rStyle w:val="FootnoteReference"/>
          <w:color w:val="5F5F5F"/>
        </w:rPr>
        <w:footnoteReference w:id="1"/>
      </w:r>
      <w:r>
        <w:t>, except where the cessation of operation:</w:t>
      </w:r>
    </w:p>
    <w:p w14:paraId="3D71D771" w14:textId="77777777" w:rsidR="00062C6B" w:rsidRDefault="00062C6B" w:rsidP="000218C4">
      <w:pPr>
        <w:pStyle w:val="bullet"/>
      </w:pPr>
      <w:r>
        <w:t>is in the ordinary course of operating the pipeline.</w:t>
      </w:r>
    </w:p>
    <w:p w14:paraId="5362D401" w14:textId="77777777" w:rsidR="00062C6B" w:rsidRDefault="00062C6B" w:rsidP="000218C4">
      <w:pPr>
        <w:pStyle w:val="bullet"/>
      </w:pPr>
      <w:r>
        <w:t>is for the purpose of repairing or maintaining the pipeline; or</w:t>
      </w:r>
    </w:p>
    <w:p w14:paraId="116C0EEC" w14:textId="77777777" w:rsidR="00062C6B" w:rsidRDefault="00062C6B" w:rsidP="000218C4">
      <w:pPr>
        <w:pStyle w:val="bullet"/>
      </w:pPr>
      <w:r>
        <w:t>was in response to an emergency in which there was a likelihood of loss or injury</w:t>
      </w:r>
      <w:r w:rsidRPr="002C1CFF">
        <w:t xml:space="preserve">. </w:t>
      </w:r>
    </w:p>
    <w:p w14:paraId="79851E11" w14:textId="77777777" w:rsidR="00062C6B" w:rsidRDefault="00062C6B" w:rsidP="00CF3910">
      <w:pPr>
        <w:keepNext/>
        <w:keepLines/>
        <w:spacing w:before="0"/>
      </w:pPr>
      <w:r w:rsidRPr="00C21B4F">
        <w:t>The OPGGS Act does not define ‘pipeline operations’ however it is expected that, except in the above circumstances, consent be sought before the licensee intends to cease conveying petroleum or a greenhouse gas substance through the pipeline.</w:t>
      </w:r>
    </w:p>
    <w:p w14:paraId="02DF6412" w14:textId="77777777" w:rsidR="00062C6B" w:rsidRPr="00381845" w:rsidRDefault="00062C6B" w:rsidP="00D8245D">
      <w:r>
        <w:t>Licensees may wish to discuss with NOPTA where there is any uncertainty about whether the Joint Authority’s prior consent is required (e.g., whether a proposed cessation is ‘in the ordinary course of operating a pipeline’).</w:t>
      </w:r>
    </w:p>
    <w:p w14:paraId="4F0EBD9C" w14:textId="77777777" w:rsidR="00062C6B" w:rsidRDefault="00062C6B" w:rsidP="00D8245D">
      <w:r w:rsidRPr="00DE7CE5">
        <w:t>Failure to</w:t>
      </w:r>
      <w:r w:rsidRPr="00F67140">
        <w:t xml:space="preserve"> obtain consent to cease to operate a pipeline could result in the titleholder committing an offence under the OPGGS Act and becoming non-compliant with its title obligations.</w:t>
      </w:r>
    </w:p>
    <w:p w14:paraId="038CF6EC" w14:textId="77777777" w:rsidR="00062C6B" w:rsidRDefault="00062C6B" w:rsidP="00B147D6">
      <w:r>
        <w:t>Note that obtaining consent to cease operating a pipeline in the above circumstances does not necessarily preclude carrying out other pipeline operations. For example:</w:t>
      </w:r>
    </w:p>
    <w:p w14:paraId="51E97FC5" w14:textId="77777777" w:rsidR="00062C6B" w:rsidRDefault="00062C6B" w:rsidP="000218C4">
      <w:pPr>
        <w:pStyle w:val="bullet"/>
      </w:pPr>
      <w:r>
        <w:t xml:space="preserve">to support production/tie-ins from other facilities by providing fuel gas, gas-lift gas, hydraulic fluids </w:t>
      </w:r>
      <w:proofErr w:type="spellStart"/>
      <w:proofErr w:type="gramStart"/>
      <w:r>
        <w:t>etc</w:t>
      </w:r>
      <w:proofErr w:type="spellEnd"/>
      <w:r>
        <w:t>;</w:t>
      </w:r>
      <w:proofErr w:type="gramEnd"/>
    </w:p>
    <w:p w14:paraId="05D77FB6" w14:textId="77777777" w:rsidR="00062C6B" w:rsidRDefault="00062C6B" w:rsidP="00CF3910">
      <w:pPr>
        <w:pStyle w:val="bullet"/>
      </w:pPr>
      <w:r>
        <w:t>conveying fluids to support decommissioning of other infrastructure such as wells and platforms.</w:t>
      </w:r>
    </w:p>
    <w:p w14:paraId="374B261C" w14:textId="77777777" w:rsidR="00062C6B" w:rsidRDefault="00062C6B" w:rsidP="00CF3910">
      <w:pPr>
        <w:pStyle w:val="bullet"/>
      </w:pPr>
      <w:r>
        <w:t>flushing, cleaning, and filling the pipeline with inhibited seawater in preparation for decommissioning.</w:t>
      </w:r>
    </w:p>
    <w:p w14:paraId="5901D477" w14:textId="77777777" w:rsidR="00062C6B" w:rsidRPr="00F67140" w:rsidRDefault="00062C6B" w:rsidP="00CF3910">
      <w:pPr>
        <w:spacing w:before="240"/>
      </w:pPr>
      <w:r>
        <w:t>Licensees should identify any potential future operations as part of their application for consent (see below).</w:t>
      </w:r>
    </w:p>
    <w:p w14:paraId="3640C055" w14:textId="77777777" w:rsidR="00062C6B" w:rsidRPr="00C87209" w:rsidRDefault="00062C6B" w:rsidP="00124580">
      <w:pPr>
        <w:pStyle w:val="Heading3"/>
      </w:pPr>
      <w:r w:rsidRPr="00C87209">
        <w:t>Early Engagement</w:t>
      </w:r>
    </w:p>
    <w:p w14:paraId="6D1F5451" w14:textId="77777777" w:rsidR="00062C6B" w:rsidRPr="003E4853" w:rsidRDefault="00062C6B" w:rsidP="00D8245D">
      <w:r>
        <w:t>Titleholders planning to cease to operate a pipeline should seek early engagement with NOPTA to ensure ongoing compliance.</w:t>
      </w:r>
    </w:p>
    <w:p w14:paraId="65F2A6A7" w14:textId="77777777" w:rsidR="00062C6B" w:rsidRPr="003E4853" w:rsidRDefault="00062C6B" w:rsidP="00CF3910">
      <w:pPr>
        <w:pStyle w:val="Heading3"/>
      </w:pPr>
      <w:r w:rsidRPr="003E4853">
        <w:lastRenderedPageBreak/>
        <w:t>Application</w:t>
      </w:r>
    </w:p>
    <w:p w14:paraId="28F03EFE" w14:textId="77777777" w:rsidR="00062C6B" w:rsidRDefault="00062C6B" w:rsidP="00B147D6">
      <w:pPr>
        <w:keepNext/>
        <w:keepLines/>
        <w:spacing w:after="120"/>
      </w:pPr>
      <w:r>
        <w:t>As the Joint Authority’s consent to cease operating a pipeline is required to be in place before the proposed cessation occurs, a</w:t>
      </w:r>
      <w:r w:rsidRPr="00F71474">
        <w:t xml:space="preserve">pplications should be submitted </w:t>
      </w:r>
      <w:r>
        <w:t xml:space="preserve">at least </w:t>
      </w:r>
      <w:r w:rsidRPr="00F71474">
        <w:t>12 weeks prior to the proposed cessation of operations.</w:t>
      </w:r>
      <w:r>
        <w:t xml:space="preserve"> The following information should be included with an application:</w:t>
      </w:r>
    </w:p>
    <w:p w14:paraId="23AD6673" w14:textId="77777777" w:rsidR="00062C6B" w:rsidRDefault="00062C6B" w:rsidP="00CF3910">
      <w:pPr>
        <w:pStyle w:val="bullet"/>
      </w:pPr>
      <w:r w:rsidRPr="00B376EB">
        <w:t>reasons for the proposed cessation of operation</w:t>
      </w:r>
      <w:r>
        <w:t>.</w:t>
      </w:r>
    </w:p>
    <w:p w14:paraId="4E400AE4" w14:textId="77777777" w:rsidR="00062C6B" w:rsidRPr="00B376EB" w:rsidRDefault="00062C6B" w:rsidP="000218C4">
      <w:pPr>
        <w:pStyle w:val="bullet"/>
      </w:pPr>
      <w:r w:rsidRPr="00B376EB">
        <w:t>whether the cessation of operation is of a permanent or temporary nature</w:t>
      </w:r>
      <w:r>
        <w:t>.</w:t>
      </w:r>
    </w:p>
    <w:p w14:paraId="09EEA0C0" w14:textId="77777777" w:rsidR="00062C6B" w:rsidRPr="00835A13" w:rsidRDefault="00062C6B" w:rsidP="000218C4">
      <w:pPr>
        <w:pStyle w:val="bullet"/>
      </w:pPr>
      <w:r w:rsidRPr="00835A13">
        <w:t xml:space="preserve">if the cessation is temporary, the estimated period of cessation and the licensee’s plans for care and maintenance during that </w:t>
      </w:r>
      <w:proofErr w:type="gramStart"/>
      <w:r w:rsidRPr="00835A13">
        <w:t>period;</w:t>
      </w:r>
      <w:proofErr w:type="gramEnd"/>
    </w:p>
    <w:p w14:paraId="2299AA03" w14:textId="0A20BF8F" w:rsidR="00062C6B" w:rsidRPr="00387FFA" w:rsidRDefault="00062C6B" w:rsidP="00CF3910">
      <w:pPr>
        <w:pStyle w:val="bullet"/>
      </w:pPr>
      <w:r w:rsidRPr="00387FFA">
        <w:t>if the cessation is permanent, the licensee’s evaluation and engagements in relation to possible other uses for the pipeline (e.g., third party access) and plans for decommissioning (refer to the</w:t>
      </w:r>
      <w:r w:rsidR="00387FFA" w:rsidRPr="00387FFA">
        <w:rPr>
          <w:i/>
          <w:iCs/>
        </w:rPr>
        <w:t xml:space="preserve"> </w:t>
      </w:r>
      <w:hyperlink r:id="rId20" w:history="1">
        <w:r w:rsidR="002739F5">
          <w:rPr>
            <w:rStyle w:val="Hyperlink"/>
            <w:i/>
            <w:iCs/>
          </w:rPr>
          <w:t>Offshore petroleum decommissioning guideline</w:t>
        </w:r>
      </w:hyperlink>
      <w:r w:rsidR="00727FBC">
        <w:t xml:space="preserve"> on NOPTA’s website</w:t>
      </w:r>
      <w:r w:rsidRPr="00387FFA">
        <w:t>).</w:t>
      </w:r>
    </w:p>
    <w:p w14:paraId="3F9C89F1" w14:textId="19430741" w:rsidR="00062C6B" w:rsidRPr="00B147D6" w:rsidRDefault="00062C6B" w:rsidP="00CF3910">
      <w:pPr>
        <w:spacing w:before="240"/>
        <w:rPr>
          <w:i/>
          <w:iCs/>
        </w:rPr>
      </w:pPr>
      <w:r w:rsidRPr="00B147D6">
        <w:rPr>
          <w:rStyle w:val="Strong"/>
          <w:sz w:val="18"/>
          <w:szCs w:val="18"/>
        </w:rPr>
        <w:t>Note</w:t>
      </w:r>
      <w:r w:rsidR="00632977" w:rsidRPr="00B147D6">
        <w:rPr>
          <w:rStyle w:val="Strong"/>
          <w:sz w:val="18"/>
          <w:szCs w:val="18"/>
        </w:rPr>
        <w:t>:</w:t>
      </w:r>
      <w:r w:rsidRPr="00B147D6">
        <w:t xml:space="preserve"> cessation of production of petroleum from a related production licence (see ‘notice of cessation of production’ below) does not negate the requirement to obtain the Joint Authority’s prior consent to cease to operate a pipeline</w:t>
      </w:r>
      <w:r w:rsidRPr="00B147D6">
        <w:rPr>
          <w:i/>
          <w:iCs/>
        </w:rPr>
        <w:t>.</w:t>
      </w:r>
    </w:p>
    <w:p w14:paraId="7364C7C7" w14:textId="77777777" w:rsidR="00062C6B" w:rsidRDefault="00062C6B" w:rsidP="00B147D6">
      <w:pPr>
        <w:rPr>
          <w:color w:val="5F5F5F"/>
        </w:rPr>
      </w:pPr>
      <w:r w:rsidRPr="00F71474">
        <w:rPr>
          <w:color w:val="5F5F5F"/>
        </w:rPr>
        <w:t xml:space="preserve">An application form is available on </w:t>
      </w:r>
      <w:hyperlink r:id="rId21" w:history="1">
        <w:r w:rsidRPr="00B376EB">
          <w:rPr>
            <w:rStyle w:val="Hyperlink"/>
          </w:rPr>
          <w:t>NOPTA’s website</w:t>
        </w:r>
      </w:hyperlink>
      <w:r w:rsidRPr="00F71474">
        <w:rPr>
          <w:color w:val="5F5F5F"/>
        </w:rPr>
        <w:t xml:space="preserve">. </w:t>
      </w:r>
    </w:p>
    <w:p w14:paraId="7C510657" w14:textId="77777777" w:rsidR="00062C6B" w:rsidRDefault="00062C6B" w:rsidP="008E4254">
      <w:pPr>
        <w:pStyle w:val="Heading2"/>
      </w:pPr>
      <w:r>
        <w:t>Cessation of production - variation of FDP</w:t>
      </w:r>
    </w:p>
    <w:p w14:paraId="4B6D2AEB" w14:textId="55586CCE" w:rsidR="00062C6B" w:rsidRPr="001837EB" w:rsidRDefault="00062C6B" w:rsidP="00B147D6">
      <w:r w:rsidRPr="001837EB">
        <w:t>Under Part 4 of the RMA</w:t>
      </w:r>
      <w:r w:rsidR="00387FFA" w:rsidRPr="001837EB">
        <w:t xml:space="preserve"> </w:t>
      </w:r>
      <w:r w:rsidRPr="001837EB">
        <w:t>R</w:t>
      </w:r>
      <w:r w:rsidR="00387FFA" w:rsidRPr="001837EB">
        <w:t>egulations</w:t>
      </w:r>
      <w:r w:rsidRPr="001837EB">
        <w:t>, titleholders must apply to vary an accepted FDP if the titleholder intends to make a major change from the accepted FDP (</w:t>
      </w:r>
      <w:r w:rsidR="00FA5801" w:rsidRPr="00CF3910">
        <w:t>sub</w:t>
      </w:r>
      <w:r w:rsidR="00854E58" w:rsidRPr="00CF3910">
        <w:t>section 46</w:t>
      </w:r>
      <w:r w:rsidR="00FA5801" w:rsidRPr="00CF3910">
        <w:t>(1)</w:t>
      </w:r>
      <w:r w:rsidR="00387FFA" w:rsidRPr="001837EB">
        <w:t xml:space="preserve"> of the RMA Regulations</w:t>
      </w:r>
      <w:r w:rsidRPr="001837EB">
        <w:t>).</w:t>
      </w:r>
    </w:p>
    <w:p w14:paraId="36146831" w14:textId="236F1B97" w:rsidR="00062C6B" w:rsidRPr="001837EB" w:rsidRDefault="00062C6B" w:rsidP="00B147D6">
      <w:r w:rsidRPr="001837EB">
        <w:t>“Major change” are those changes undertaken under the control of and by the Titleholder. These include, among other things, the permanent or long-term cessation of production before the date proposed in the FDP (where applicable) (</w:t>
      </w:r>
      <w:r w:rsidR="00DD253C" w:rsidRPr="00CF3910">
        <w:t>section 6</w:t>
      </w:r>
      <w:r w:rsidR="00387FFA" w:rsidRPr="001837EB">
        <w:t xml:space="preserve"> of the RMA Regulations</w:t>
      </w:r>
      <w:r w:rsidRPr="001837EB">
        <w:t>).</w:t>
      </w:r>
    </w:p>
    <w:p w14:paraId="47EDEC14" w14:textId="52F1893D" w:rsidR="00062C6B" w:rsidRPr="001837EB" w:rsidRDefault="00062C6B" w:rsidP="00B147D6">
      <w:r w:rsidRPr="001837EB">
        <w:t xml:space="preserve">For a major change, the application for a variation to the accepted FDP must be made </w:t>
      </w:r>
      <w:r w:rsidRPr="001837EB">
        <w:rPr>
          <w:u w:val="single"/>
        </w:rPr>
        <w:t>at least 90 days before</w:t>
      </w:r>
      <w:r w:rsidRPr="001837EB">
        <w:t xml:space="preserve"> the major change (</w:t>
      </w:r>
      <w:r w:rsidR="00FD36AB" w:rsidRPr="00CF3910">
        <w:t xml:space="preserve">subsection 46(2) </w:t>
      </w:r>
      <w:r w:rsidR="00387FFA" w:rsidRPr="001837EB">
        <w:t>of the RMA Regulations</w:t>
      </w:r>
      <w:r w:rsidRPr="001837EB">
        <w:t>).</w:t>
      </w:r>
    </w:p>
    <w:p w14:paraId="0D8691A9" w14:textId="18494E25" w:rsidR="00062C6B" w:rsidRPr="003E4853" w:rsidRDefault="00062C6B" w:rsidP="00B147D6">
      <w:r w:rsidRPr="001837EB">
        <w:t>Failure to do so could result in the titleholder committing an offence under the OPGGS Act/</w:t>
      </w:r>
      <w:r w:rsidR="00387FFA" w:rsidRPr="001837EB">
        <w:t>RMA Regulations</w:t>
      </w:r>
      <w:r w:rsidRPr="001837EB">
        <w:t xml:space="preserve"> and becoming non-compliant with its title obligations.</w:t>
      </w:r>
    </w:p>
    <w:p w14:paraId="7E8EC46D" w14:textId="172AB883" w:rsidR="00062C6B" w:rsidRPr="007A605F" w:rsidRDefault="00062C6B" w:rsidP="00B147D6">
      <w:pPr>
        <w:rPr>
          <w:color w:val="5F5F5F"/>
        </w:rPr>
      </w:pPr>
      <w:r>
        <w:rPr>
          <w:color w:val="5F5F5F"/>
        </w:rPr>
        <w:t xml:space="preserve">For further information about varying a FDP please refer to the </w:t>
      </w:r>
      <w:hyperlink r:id="rId22" w:history="1">
        <w:r w:rsidRPr="00387FFA">
          <w:rPr>
            <w:rStyle w:val="Hyperlink"/>
            <w:i/>
            <w:iCs/>
          </w:rPr>
          <w:t xml:space="preserve">Developing a </w:t>
        </w:r>
        <w:r w:rsidR="00BE3995" w:rsidRPr="00387FFA">
          <w:rPr>
            <w:rStyle w:val="Hyperlink"/>
            <w:i/>
            <w:iCs/>
          </w:rPr>
          <w:t>petroleum resource fa</w:t>
        </w:r>
        <w:r w:rsidRPr="00387FFA">
          <w:rPr>
            <w:rStyle w:val="Hyperlink"/>
            <w:i/>
            <w:iCs/>
          </w:rPr>
          <w:t>ct</w:t>
        </w:r>
        <w:r w:rsidR="00BE3995">
          <w:rPr>
            <w:rStyle w:val="Hyperlink"/>
            <w:i/>
            <w:iCs/>
          </w:rPr>
          <w:t xml:space="preserve"> </w:t>
        </w:r>
        <w:r w:rsidRPr="00387FFA">
          <w:rPr>
            <w:rStyle w:val="Hyperlink"/>
            <w:i/>
            <w:iCs/>
          </w:rPr>
          <w:t>sheet</w:t>
        </w:r>
      </w:hyperlink>
      <w:r>
        <w:rPr>
          <w:color w:val="5F5F5F"/>
        </w:rPr>
        <w:t xml:space="preserve"> on NOPTA’s website.</w:t>
      </w:r>
    </w:p>
    <w:p w14:paraId="4612871A" w14:textId="77777777" w:rsidR="00062C6B" w:rsidRDefault="00062C6B" w:rsidP="008E4254">
      <w:pPr>
        <w:pStyle w:val="Heading2"/>
      </w:pPr>
      <w:r>
        <w:t>Notice of cessation of production</w:t>
      </w:r>
    </w:p>
    <w:p w14:paraId="4FD5D3E0" w14:textId="77777777" w:rsidR="00062C6B" w:rsidRPr="008101F5" w:rsidRDefault="00062C6B" w:rsidP="00CF3910">
      <w:pPr>
        <w:pStyle w:val="Heading3"/>
      </w:pPr>
      <w:r w:rsidRPr="008101F5">
        <w:t>Early Engagement &amp; Preliminary Considerations</w:t>
      </w:r>
    </w:p>
    <w:p w14:paraId="592E13A3" w14:textId="77777777" w:rsidR="00062C6B" w:rsidRDefault="00062C6B" w:rsidP="00DB40A5">
      <w:pPr>
        <w:keepNext/>
        <w:keepLines/>
      </w:pPr>
      <w:r w:rsidRPr="00273D4F">
        <w:t xml:space="preserve">Titleholders are encouraged to engage with NOPTA </w:t>
      </w:r>
      <w:r>
        <w:t>on a regular basis to provide updates regarding field performance, which are expected to include estimates of expected field life.</w:t>
      </w:r>
    </w:p>
    <w:p w14:paraId="57B43732" w14:textId="77777777" w:rsidR="00062C6B" w:rsidRDefault="00062C6B" w:rsidP="00B147D6">
      <w:r w:rsidRPr="00DD727C">
        <w:t xml:space="preserve">For fields at a mature stage of production, </w:t>
      </w:r>
      <w:r>
        <w:t xml:space="preserve">this should include details of activities and </w:t>
      </w:r>
      <w:r w:rsidRPr="00DD727C">
        <w:t>strategies being undertaken to optimise remaining production.</w:t>
      </w:r>
    </w:p>
    <w:p w14:paraId="37B650FB" w14:textId="77777777" w:rsidR="00062C6B" w:rsidRPr="003E4853" w:rsidRDefault="00062C6B" w:rsidP="00B147D6">
      <w:r w:rsidRPr="003E4853">
        <w:t>Prior to ceasing production from a field, titleholders should consider what regulatory approvals</w:t>
      </w:r>
      <w:r>
        <w:t>,</w:t>
      </w:r>
      <w:r w:rsidRPr="003E4853">
        <w:t xml:space="preserve"> if any, should be sought (see ‘ceasing to operate a pipeline’ and ‘variation of FDP’ above).</w:t>
      </w:r>
    </w:p>
    <w:p w14:paraId="684D8286" w14:textId="77777777" w:rsidR="00062C6B" w:rsidRPr="00B23863" w:rsidRDefault="00062C6B" w:rsidP="00124580">
      <w:pPr>
        <w:pStyle w:val="Heading3"/>
      </w:pPr>
      <w:r w:rsidRPr="00B23863">
        <w:t>When to notify</w:t>
      </w:r>
    </w:p>
    <w:p w14:paraId="00954A9E" w14:textId="77777777" w:rsidR="00062C6B" w:rsidRDefault="00062C6B" w:rsidP="00CF3910">
      <w:pPr>
        <w:spacing w:after="120"/>
      </w:pPr>
      <w:r>
        <w:t xml:space="preserve">Titleholders should notify NOPTA </w:t>
      </w:r>
      <w:r w:rsidRPr="00FF4625">
        <w:rPr>
          <w:u w:val="single"/>
        </w:rPr>
        <w:t>as soon as possible</w:t>
      </w:r>
      <w:r w:rsidRPr="00273D4F">
        <w:t xml:space="preserve"> </w:t>
      </w:r>
      <w:r>
        <w:t>when:</w:t>
      </w:r>
    </w:p>
    <w:p w14:paraId="7A5C2D24" w14:textId="77777777" w:rsidR="00062C6B" w:rsidRDefault="00062C6B" w:rsidP="000218C4">
      <w:pPr>
        <w:pStyle w:val="bullet"/>
      </w:pPr>
      <w:r w:rsidRPr="00D5486D">
        <w:t xml:space="preserve">they become aware </w:t>
      </w:r>
      <w:r>
        <w:t xml:space="preserve">that cessation of </w:t>
      </w:r>
      <w:r w:rsidRPr="00D5486D">
        <w:t>production</w:t>
      </w:r>
      <w:r>
        <w:t>, on either a long-term or permanent basis, is imminent</w:t>
      </w:r>
      <w:r w:rsidRPr="00D5486D">
        <w:t>; and</w:t>
      </w:r>
    </w:p>
    <w:p w14:paraId="3D3CC28E" w14:textId="77777777" w:rsidR="00062C6B" w:rsidRPr="00C56A9B" w:rsidRDefault="00062C6B" w:rsidP="000218C4">
      <w:pPr>
        <w:pStyle w:val="bullet"/>
      </w:pPr>
      <w:r>
        <w:t xml:space="preserve">when subsequent </w:t>
      </w:r>
      <w:r w:rsidRPr="00D5486D">
        <w:t xml:space="preserve">production </w:t>
      </w:r>
      <w:proofErr w:type="gramStart"/>
      <w:r>
        <w:t xml:space="preserve">actually </w:t>
      </w:r>
      <w:r w:rsidRPr="00D5486D">
        <w:t>ceases</w:t>
      </w:r>
      <w:proofErr w:type="gramEnd"/>
      <w:r w:rsidRPr="00C56A9B">
        <w:t>.</w:t>
      </w:r>
    </w:p>
    <w:p w14:paraId="5F0085FE" w14:textId="77777777" w:rsidR="00062C6B" w:rsidRPr="00B23863" w:rsidRDefault="00062C6B" w:rsidP="00124580">
      <w:pPr>
        <w:pStyle w:val="Heading3"/>
      </w:pPr>
      <w:r w:rsidRPr="00B23863">
        <w:t>How to notify</w:t>
      </w:r>
    </w:p>
    <w:p w14:paraId="32215B42" w14:textId="77777777" w:rsidR="00062C6B" w:rsidRDefault="00062C6B" w:rsidP="00B147D6">
      <w:pPr>
        <w:rPr>
          <w:rStyle w:val="Hyperlink"/>
        </w:rPr>
      </w:pPr>
      <w:r w:rsidRPr="00273D4F">
        <w:t>NOPTA</w:t>
      </w:r>
      <w:r>
        <w:t xml:space="preserve"> should be formally notified of a cessation of production </w:t>
      </w:r>
      <w:r w:rsidRPr="00273D4F">
        <w:t>by letter or email correspondence</w:t>
      </w:r>
      <w:r>
        <w:t xml:space="preserve"> via </w:t>
      </w:r>
      <w:hyperlink r:id="rId23" w:history="1">
        <w:r w:rsidRPr="00F22D80">
          <w:rPr>
            <w:rStyle w:val="Hyperlink"/>
          </w:rPr>
          <w:t>titles@nopt</w:t>
        </w:r>
        <w:r w:rsidRPr="0064197B">
          <w:rPr>
            <w:rStyle w:val="Hyperlink"/>
          </w:rPr>
          <w:t>a.gov.au</w:t>
        </w:r>
      </w:hyperlink>
      <w:r>
        <w:t>.</w:t>
      </w:r>
    </w:p>
    <w:p w14:paraId="44B6C1BA" w14:textId="77777777" w:rsidR="00062C6B" w:rsidRPr="00273D4F" w:rsidRDefault="00062C6B" w:rsidP="00B147D6">
      <w:r w:rsidRPr="0098455E">
        <w:t>NOPTA should also be kept informed on an ongoing basis of any likely or actual cessation of production</w:t>
      </w:r>
      <w:r>
        <w:t xml:space="preserve"> in </w:t>
      </w:r>
      <w:r w:rsidRPr="00273D4F">
        <w:t>Annual Title Assessment Reports</w:t>
      </w:r>
      <w:r>
        <w:t>.</w:t>
      </w:r>
    </w:p>
    <w:p w14:paraId="3232D2BD" w14:textId="77777777" w:rsidR="00062C6B" w:rsidRDefault="00062C6B" w:rsidP="008E4254">
      <w:pPr>
        <w:pStyle w:val="Heading2"/>
      </w:pPr>
      <w:r>
        <w:t>What information to provide</w:t>
      </w:r>
    </w:p>
    <w:p w14:paraId="62CB7227" w14:textId="77777777" w:rsidR="00062C6B" w:rsidRPr="00B23863" w:rsidRDefault="00062C6B" w:rsidP="00124580">
      <w:pPr>
        <w:pStyle w:val="Heading3"/>
      </w:pPr>
      <w:r w:rsidRPr="046A24D5">
        <w:t>Likely cessation of production</w:t>
      </w:r>
    </w:p>
    <w:p w14:paraId="31E725AD" w14:textId="77777777" w:rsidR="00062C6B" w:rsidRPr="00273D4F" w:rsidRDefault="00062C6B" w:rsidP="00CF3910">
      <w:pPr>
        <w:spacing w:after="120"/>
      </w:pPr>
      <w:r w:rsidRPr="00273D4F">
        <w:t xml:space="preserve">When a titleholder becomes aware </w:t>
      </w:r>
      <w:r>
        <w:t xml:space="preserve">that </w:t>
      </w:r>
      <w:r w:rsidRPr="00273D4F">
        <w:t>cessation of production</w:t>
      </w:r>
      <w:r>
        <w:t xml:space="preserve"> from a field is imminent</w:t>
      </w:r>
      <w:r w:rsidRPr="00273D4F">
        <w:t xml:space="preserve">, they should notify NOPTA </w:t>
      </w:r>
      <w:r>
        <w:t xml:space="preserve">by </w:t>
      </w:r>
      <w:r w:rsidRPr="00273D4F">
        <w:t>providing the following information:</w:t>
      </w:r>
    </w:p>
    <w:p w14:paraId="0B9D19B8" w14:textId="77777777" w:rsidR="00062C6B" w:rsidRPr="008662B1" w:rsidRDefault="00062C6B" w:rsidP="000218C4">
      <w:pPr>
        <w:pStyle w:val="bullet"/>
      </w:pPr>
      <w:r w:rsidRPr="00273D4F">
        <w:t>the name of the field</w:t>
      </w:r>
      <w:r>
        <w:t>(s)</w:t>
      </w:r>
      <w:r w:rsidRPr="00273D4F">
        <w:t xml:space="preserve"> </w:t>
      </w:r>
      <w:r>
        <w:t>that</w:t>
      </w:r>
      <w:r w:rsidRPr="00273D4F">
        <w:t xml:space="preserve"> will cease</w:t>
      </w:r>
      <w:r w:rsidRPr="008662B1">
        <w:t xml:space="preserve"> </w:t>
      </w:r>
      <w:proofErr w:type="gramStart"/>
      <w:r w:rsidRPr="008662B1">
        <w:t>producing</w:t>
      </w:r>
      <w:proofErr w:type="gramEnd"/>
      <w:r>
        <w:t xml:space="preserve"> and, if applicable, the project name</w:t>
      </w:r>
      <w:r w:rsidRPr="008662B1">
        <w:t>.</w:t>
      </w:r>
    </w:p>
    <w:p w14:paraId="24F06057" w14:textId="77777777" w:rsidR="00062C6B" w:rsidRPr="00273D4F" w:rsidRDefault="00062C6B" w:rsidP="000218C4">
      <w:pPr>
        <w:pStyle w:val="bullet"/>
      </w:pPr>
      <w:r>
        <w:t xml:space="preserve">the title number of the </w:t>
      </w:r>
      <w:r w:rsidRPr="00273D4F">
        <w:t>production licen</w:t>
      </w:r>
      <w:r>
        <w:t>c</w:t>
      </w:r>
      <w:r w:rsidRPr="00273D4F">
        <w:t>e</w:t>
      </w:r>
      <w:r>
        <w:t>(s)</w:t>
      </w:r>
      <w:r w:rsidRPr="00273D4F">
        <w:t xml:space="preserve"> in which the field(s) </w:t>
      </w:r>
      <w:r>
        <w:t>is</w:t>
      </w:r>
      <w:r w:rsidRPr="00273D4F">
        <w:t xml:space="preserve"> located</w:t>
      </w:r>
      <w:r>
        <w:t>; and</w:t>
      </w:r>
    </w:p>
    <w:p w14:paraId="34ACC1CC" w14:textId="77777777" w:rsidR="00062C6B" w:rsidRDefault="00062C6B" w:rsidP="000218C4">
      <w:pPr>
        <w:pStyle w:val="bullet"/>
      </w:pPr>
      <w:r w:rsidRPr="00273D4F">
        <w:lastRenderedPageBreak/>
        <w:t xml:space="preserve">the estimated </w:t>
      </w:r>
      <w:r>
        <w:t xml:space="preserve">timeframe when production is likely to cease </w:t>
      </w:r>
      <w:r w:rsidRPr="00273D4F">
        <w:t>(month/year)</w:t>
      </w:r>
      <w:r>
        <w:t>.</w:t>
      </w:r>
    </w:p>
    <w:p w14:paraId="629380EE" w14:textId="77777777" w:rsidR="00062C6B" w:rsidRPr="00B23863" w:rsidRDefault="00062C6B" w:rsidP="00CF3910">
      <w:pPr>
        <w:pStyle w:val="Heading3"/>
      </w:pPr>
      <w:r w:rsidRPr="00B23863">
        <w:t>Actual cessation of production</w:t>
      </w:r>
    </w:p>
    <w:p w14:paraId="4FC611C9" w14:textId="77777777" w:rsidR="00062C6B" w:rsidRDefault="00062C6B" w:rsidP="00DB40A5">
      <w:pPr>
        <w:keepNext/>
        <w:keepLines/>
      </w:pPr>
      <w:r w:rsidRPr="00273D4F">
        <w:t xml:space="preserve">Once production from </w:t>
      </w:r>
      <w:r>
        <w:t>a</w:t>
      </w:r>
      <w:r w:rsidRPr="00273D4F">
        <w:t xml:space="preserve"> field </w:t>
      </w:r>
      <w:r>
        <w:t xml:space="preserve">has </w:t>
      </w:r>
      <w:r w:rsidRPr="00273D4F">
        <w:t>cease</w:t>
      </w:r>
      <w:r>
        <w:t>d</w:t>
      </w:r>
      <w:r w:rsidRPr="00273D4F">
        <w:t xml:space="preserve">, </w:t>
      </w:r>
      <w:r>
        <w:t xml:space="preserve">the </w:t>
      </w:r>
      <w:r w:rsidRPr="00273D4F">
        <w:t>titleholder should notify NOPTA</w:t>
      </w:r>
      <w:r>
        <w:t xml:space="preserve"> as soon as possible.</w:t>
      </w:r>
    </w:p>
    <w:p w14:paraId="7CA5385D" w14:textId="77777777" w:rsidR="00062C6B" w:rsidRPr="00273D4F" w:rsidRDefault="00062C6B" w:rsidP="00CF3910">
      <w:pPr>
        <w:keepNext/>
        <w:keepLines/>
        <w:widowControl w:val="0"/>
        <w:tabs>
          <w:tab w:val="left" w:pos="479"/>
          <w:tab w:val="left" w:pos="480"/>
        </w:tabs>
        <w:spacing w:after="120"/>
        <w:rPr>
          <w:color w:val="5F5F5F"/>
        </w:rPr>
      </w:pPr>
      <w:r w:rsidRPr="046A24D5">
        <w:rPr>
          <w:color w:val="5F5F5F"/>
        </w:rPr>
        <w:t xml:space="preserve">Within one month of providing notice, or such other period agreed with NOPTA, the titleholder should also provide NOPTA with </w:t>
      </w:r>
      <w:proofErr w:type="gramStart"/>
      <w:r w:rsidRPr="046A24D5">
        <w:rPr>
          <w:color w:val="5F5F5F"/>
        </w:rPr>
        <w:t>a brief summary</w:t>
      </w:r>
      <w:proofErr w:type="gramEnd"/>
      <w:r w:rsidRPr="046A24D5">
        <w:rPr>
          <w:color w:val="5F5F5F"/>
        </w:rPr>
        <w:t xml:space="preserve"> of:</w:t>
      </w:r>
    </w:p>
    <w:p w14:paraId="69703AA6" w14:textId="6A02669B" w:rsidR="00062C6B" w:rsidRDefault="00062C6B" w:rsidP="000218C4">
      <w:pPr>
        <w:pStyle w:val="bullet"/>
      </w:pPr>
      <w:r>
        <w:t>the date on which production ceased (note – where this is the only field within a production licence, this is generally taken to be the last date of petroleum recovery operations for the purposes of section</w:t>
      </w:r>
      <w:r w:rsidR="00387FFA">
        <w:t>s</w:t>
      </w:r>
      <w:r>
        <w:t xml:space="preserve"> 147, 166 and 186 of the </w:t>
      </w:r>
      <w:r w:rsidR="00387FFA">
        <w:t xml:space="preserve">OPGGS </w:t>
      </w:r>
      <w:r>
        <w:t>Act</w:t>
      </w:r>
      <w:proofErr w:type="gramStart"/>
      <w:r>
        <w:t>);</w:t>
      </w:r>
      <w:proofErr w:type="gramEnd"/>
    </w:p>
    <w:p w14:paraId="1186DDAE" w14:textId="77777777" w:rsidR="00062C6B" w:rsidRPr="00273D4F" w:rsidRDefault="00062C6B" w:rsidP="000218C4">
      <w:pPr>
        <w:pStyle w:val="bullet"/>
      </w:pPr>
      <w:r w:rsidRPr="00273D4F">
        <w:t>the underlying factors for ceasing production</w:t>
      </w:r>
      <w:r>
        <w:t>.</w:t>
      </w:r>
    </w:p>
    <w:p w14:paraId="7DF31AD9" w14:textId="77777777" w:rsidR="00062C6B" w:rsidRPr="00FF4625" w:rsidRDefault="00062C6B" w:rsidP="000218C4">
      <w:pPr>
        <w:pStyle w:val="bullet"/>
      </w:pPr>
      <w:r w:rsidRPr="00273D4F">
        <w:t>the field’s production history (including differences between FDP assumptions and actual</w:t>
      </w:r>
      <w:r>
        <w:t xml:space="preserve"> </w:t>
      </w:r>
      <w:r w:rsidRPr="00FF4625">
        <w:t>performance)</w:t>
      </w:r>
      <w:r>
        <w:t>.</w:t>
      </w:r>
    </w:p>
    <w:p w14:paraId="7259F156" w14:textId="77777777" w:rsidR="00062C6B" w:rsidRPr="00273D4F" w:rsidRDefault="00062C6B" w:rsidP="000218C4">
      <w:pPr>
        <w:pStyle w:val="bullet"/>
      </w:pPr>
      <w:r w:rsidRPr="00273D4F">
        <w:t>key learnings and insights from the project</w:t>
      </w:r>
      <w:r>
        <w:t>, including projects, work or studies undertaken to mature resources, and views as to alternative opportunities for maturing those resources in the future (e.g., applying new technology).</w:t>
      </w:r>
    </w:p>
    <w:p w14:paraId="7F8C6FD7" w14:textId="77777777" w:rsidR="00062C6B" w:rsidRPr="00FF4625" w:rsidRDefault="00062C6B" w:rsidP="000218C4">
      <w:pPr>
        <w:pStyle w:val="bullet"/>
      </w:pPr>
      <w:r w:rsidRPr="00273D4F">
        <w:t xml:space="preserve">quantities of all remaining hydrocarbons </w:t>
      </w:r>
      <w:r>
        <w:t xml:space="preserve">within the field </w:t>
      </w:r>
      <w:r w:rsidRPr="00273D4F">
        <w:t xml:space="preserve">(including </w:t>
      </w:r>
      <w:r>
        <w:t>c</w:t>
      </w:r>
      <w:r w:rsidRPr="00273D4F">
        <w:t xml:space="preserve">ontingent </w:t>
      </w:r>
      <w:r>
        <w:t>r</w:t>
      </w:r>
      <w:r w:rsidRPr="00273D4F">
        <w:t>esources</w:t>
      </w:r>
      <w:r>
        <w:t>).</w:t>
      </w:r>
    </w:p>
    <w:p w14:paraId="49AB9832" w14:textId="77777777" w:rsidR="00062C6B" w:rsidRDefault="00062C6B" w:rsidP="000218C4">
      <w:pPr>
        <w:pStyle w:val="bullet"/>
      </w:pPr>
      <w:r w:rsidRPr="00273D4F">
        <w:t>decommissioning timeframes and anticipated costs</w:t>
      </w:r>
      <w:r>
        <w:t>.</w:t>
      </w:r>
    </w:p>
    <w:p w14:paraId="56FA9133" w14:textId="77777777" w:rsidR="00062C6B" w:rsidRDefault="00062C6B" w:rsidP="000218C4">
      <w:pPr>
        <w:pStyle w:val="bullet"/>
      </w:pPr>
      <w:r>
        <w:t xml:space="preserve">the status of any other </w:t>
      </w:r>
      <w:proofErr w:type="gramStart"/>
      <w:r>
        <w:t>fields</w:t>
      </w:r>
      <w:proofErr w:type="gramEnd"/>
      <w:r>
        <w:t xml:space="preserve"> in the licence area, either currently producing or planned to be produced in the future.</w:t>
      </w:r>
    </w:p>
    <w:p w14:paraId="65A145F7" w14:textId="77777777" w:rsidR="00062C6B" w:rsidRPr="00273D4F" w:rsidRDefault="00062C6B" w:rsidP="000218C4">
      <w:pPr>
        <w:pStyle w:val="bullet"/>
      </w:pPr>
      <w:r>
        <w:t xml:space="preserve">the status of any infrastructure relevant to the licence (e.g., platform, pipelines etc.) and whether these will </w:t>
      </w:r>
      <w:proofErr w:type="gramStart"/>
      <w:r>
        <w:t>be continued</w:t>
      </w:r>
      <w:proofErr w:type="gramEnd"/>
      <w:r>
        <w:t xml:space="preserve"> to be used.</w:t>
      </w:r>
      <w:r w:rsidDel="00FA5F90">
        <w:t xml:space="preserve"> </w:t>
      </w:r>
    </w:p>
    <w:p w14:paraId="7705F8E8" w14:textId="77777777" w:rsidR="00062C6B" w:rsidRDefault="00062C6B" w:rsidP="000218C4">
      <w:pPr>
        <w:pStyle w:val="bullet"/>
      </w:pPr>
      <w:r w:rsidRPr="00273D4F">
        <w:t>any other relevant information.</w:t>
      </w:r>
    </w:p>
    <w:p w14:paraId="6AF5F770" w14:textId="77777777" w:rsidR="00062C6B" w:rsidRPr="00671C55" w:rsidRDefault="00062C6B" w:rsidP="00CF3910">
      <w:pPr>
        <w:spacing w:before="240"/>
      </w:pPr>
      <w:r>
        <w:t>Depending on the timing of cessation (e.g., when in the licence year it occurs) further detail may be provided in the ATAR. Please contact NOPTA if you have any questions regarding content and timing.</w:t>
      </w:r>
    </w:p>
    <w:p w14:paraId="792269A9" w14:textId="77777777" w:rsidR="00062C6B" w:rsidRDefault="00062C6B" w:rsidP="008E4254">
      <w:pPr>
        <w:pStyle w:val="Heading2"/>
      </w:pPr>
      <w:r>
        <w:t>How does NOPTA use this information?</w:t>
      </w:r>
    </w:p>
    <w:p w14:paraId="383C80D7" w14:textId="77777777" w:rsidR="00062C6B" w:rsidRDefault="00062C6B" w:rsidP="00CF3910">
      <w:pPr>
        <w:keepNext/>
        <w:keepLines/>
        <w:spacing w:after="120"/>
      </w:pPr>
      <w:r>
        <w:t>NOPTA uses the information provided to:</w:t>
      </w:r>
    </w:p>
    <w:p w14:paraId="0427891B" w14:textId="77777777" w:rsidR="00062C6B" w:rsidRDefault="00062C6B" w:rsidP="00CF3910">
      <w:pPr>
        <w:pStyle w:val="bullet"/>
        <w:keepNext/>
        <w:keepLines/>
      </w:pPr>
      <w:r>
        <w:t>inform and assist the Joint Authority and NOPSEMA with their respective decision-making and regulatory activities; and</w:t>
      </w:r>
    </w:p>
    <w:p w14:paraId="7BC391D8" w14:textId="77777777" w:rsidR="00062C6B" w:rsidRDefault="00062C6B" w:rsidP="000218C4">
      <w:pPr>
        <w:pStyle w:val="bullet"/>
      </w:pPr>
      <w:r>
        <w:t>as part of regional resource stewardship efforts, including considerations for future resource development and field development benchmarking.</w:t>
      </w:r>
    </w:p>
    <w:p w14:paraId="18BEFEC9" w14:textId="77777777" w:rsidR="00062C6B" w:rsidRPr="007425B2" w:rsidRDefault="00062C6B" w:rsidP="008E4254">
      <w:pPr>
        <w:pStyle w:val="Heading2"/>
      </w:pPr>
      <w:r>
        <w:t>Implications for termination of licences</w:t>
      </w:r>
    </w:p>
    <w:p w14:paraId="72412D79" w14:textId="77777777" w:rsidR="00062C6B" w:rsidRDefault="00062C6B" w:rsidP="00CF3910">
      <w:pPr>
        <w:keepNext/>
        <w:keepLines/>
        <w:widowControl w:val="0"/>
        <w:spacing w:after="120"/>
        <w:rPr>
          <w:color w:val="5F5F5F"/>
        </w:rPr>
      </w:pPr>
      <w:r w:rsidRPr="046A24D5">
        <w:rPr>
          <w:color w:val="5F5F5F"/>
        </w:rPr>
        <w:t>The Joint Authority has a discretionary power to terminate:</w:t>
      </w:r>
    </w:p>
    <w:p w14:paraId="497A6D99" w14:textId="4284AD67" w:rsidR="00062C6B" w:rsidRDefault="00062C6B" w:rsidP="00CF3910">
      <w:pPr>
        <w:pStyle w:val="bullet"/>
      </w:pPr>
      <w:r>
        <w:t xml:space="preserve">a </w:t>
      </w:r>
      <w:r w:rsidRPr="00DB1A07">
        <w:t>life-of-field production licence if no petroleum recovery operations have been carried on at any time during a continuous period of at least five years</w:t>
      </w:r>
      <w:r>
        <w:t xml:space="preserve"> (section </w:t>
      </w:r>
      <w:r w:rsidRPr="00DB1A07">
        <w:t>166</w:t>
      </w:r>
      <w:r w:rsidR="00387FFA">
        <w:t xml:space="preserve"> of the OPGGS Act</w:t>
      </w:r>
      <w:r>
        <w:t>).</w:t>
      </w:r>
    </w:p>
    <w:p w14:paraId="78CB5D1F" w14:textId="4CDD4F9A" w:rsidR="00062C6B" w:rsidRDefault="00062C6B" w:rsidP="00CF3910">
      <w:pPr>
        <w:pStyle w:val="bullet"/>
      </w:pPr>
      <w:r>
        <w:t xml:space="preserve">a pipeline </w:t>
      </w:r>
      <w:r w:rsidRPr="00DB1A07">
        <w:t xml:space="preserve">licence if </w:t>
      </w:r>
      <w:r>
        <w:t xml:space="preserve">the licensee has not used the pipeline or a part of a pipeline at any time during a </w:t>
      </w:r>
      <w:r w:rsidRPr="00DB1A07">
        <w:t>continuous period of at least five years</w:t>
      </w:r>
      <w:r>
        <w:t xml:space="preserve"> (section 215</w:t>
      </w:r>
      <w:r w:rsidR="00387FFA">
        <w:t xml:space="preserve"> of the OPGGS Act</w:t>
      </w:r>
      <w:r>
        <w:t>).</w:t>
      </w:r>
    </w:p>
    <w:p w14:paraId="2CC06699" w14:textId="55510671" w:rsidR="00062C6B" w:rsidRPr="00DB40A5" w:rsidRDefault="00062C6B" w:rsidP="00CF3910">
      <w:pPr>
        <w:spacing w:before="240"/>
      </w:pPr>
      <w:r w:rsidRPr="00DB40A5">
        <w:rPr>
          <w:rStyle w:val="Strong"/>
          <w:sz w:val="16"/>
          <w:szCs w:val="16"/>
        </w:rPr>
        <w:t>Note</w:t>
      </w:r>
      <w:r w:rsidR="00632977" w:rsidRPr="00DB40A5">
        <w:t>:</w:t>
      </w:r>
      <w:r w:rsidRPr="00DB40A5">
        <w:t xml:space="preserve"> this excludes any period where petroleum recovery operations were not carried on or where a pipeline or part of a pipeline was not used because of circumstances beyond the licensee’s control. This does not include the depletion of recoverable petroleum.</w:t>
      </w:r>
    </w:p>
    <w:p w14:paraId="6C2CCAA1" w14:textId="77777777" w:rsidR="00062C6B" w:rsidRDefault="00062C6B" w:rsidP="00DB40A5">
      <w:r w:rsidRPr="00B3775F">
        <w:t xml:space="preserve">Where the Joint Authority intends to terminate a </w:t>
      </w:r>
      <w:proofErr w:type="gramStart"/>
      <w:r w:rsidRPr="00B3775F">
        <w:t>licence</w:t>
      </w:r>
      <w:proofErr w:type="gramEnd"/>
      <w:r w:rsidRPr="00B3775F">
        <w:t xml:space="preserve"> the licensee will be notified in writing and provided with an opportunity to make submissions with respect to the proposed termination</w:t>
      </w:r>
      <w:r>
        <w:t>.</w:t>
      </w:r>
    </w:p>
    <w:p w14:paraId="0D667488" w14:textId="77777777" w:rsidR="00062C6B" w:rsidRPr="00270B3E" w:rsidRDefault="00062C6B" w:rsidP="00DB40A5">
      <w:r>
        <w:t>Titleholders should therefore consider the potential impact that a long-term or permanent cessation of production may have on related petroleum titles. T</w:t>
      </w:r>
      <w:r w:rsidRPr="00270B3E">
        <w:t>itleholders</w:t>
      </w:r>
      <w:r>
        <w:t xml:space="preserve"> may contact NOPTA to discuss any questions they may have.</w:t>
      </w:r>
    </w:p>
    <w:p w14:paraId="2E914A91" w14:textId="77777777" w:rsidR="00062C6B" w:rsidRDefault="00062C6B" w:rsidP="008E4254">
      <w:pPr>
        <w:pStyle w:val="Heading2"/>
      </w:pPr>
      <w:r>
        <w:t>Decommissioning</w:t>
      </w:r>
    </w:p>
    <w:p w14:paraId="2060AE85" w14:textId="77777777" w:rsidR="00062C6B" w:rsidRPr="007C2097" w:rsidRDefault="00062C6B" w:rsidP="00CF3910">
      <w:pPr>
        <w:spacing w:after="120"/>
      </w:pPr>
      <w:r w:rsidRPr="00B3775F">
        <w:t>Prior to seeking consent to surrender relevant titles, titleholders must</w:t>
      </w:r>
      <w:r>
        <w:t>, among other things,</w:t>
      </w:r>
      <w:r w:rsidRPr="00B3775F">
        <w:t xml:space="preserve"> have documentary</w:t>
      </w:r>
      <w:r>
        <w:t xml:space="preserve"> </w:t>
      </w:r>
      <w:r w:rsidRPr="00B3775F">
        <w:t>evidence showing all wells and/or property within the titles have been through a regulated</w:t>
      </w:r>
      <w:r>
        <w:t xml:space="preserve"> </w:t>
      </w:r>
      <w:r w:rsidRPr="00B3775F">
        <w:t>abandonment process</w:t>
      </w:r>
      <w:r>
        <w:t>. This includes demonstrating that the titleholders have:</w:t>
      </w:r>
    </w:p>
    <w:p w14:paraId="3813D7DE" w14:textId="77777777" w:rsidR="00062C6B" w:rsidRPr="007C2097" w:rsidRDefault="00062C6B" w:rsidP="000218C4">
      <w:pPr>
        <w:pStyle w:val="bullet"/>
      </w:pPr>
      <w:r w:rsidRPr="007C2097">
        <w:t xml:space="preserve">removed all property (or made other arrangements that are satisfactory to NOPSEMA) from the area. </w:t>
      </w:r>
    </w:p>
    <w:p w14:paraId="6C4D3849" w14:textId="77777777" w:rsidR="00062C6B" w:rsidRPr="007C2097" w:rsidRDefault="00062C6B" w:rsidP="000218C4">
      <w:pPr>
        <w:pStyle w:val="bullet"/>
      </w:pPr>
      <w:r w:rsidRPr="007C2097">
        <w:lastRenderedPageBreak/>
        <w:t xml:space="preserve">plugged or closed off any wells. </w:t>
      </w:r>
    </w:p>
    <w:p w14:paraId="69754426" w14:textId="77777777" w:rsidR="00062C6B" w:rsidRPr="007C2097" w:rsidRDefault="00062C6B" w:rsidP="000218C4">
      <w:pPr>
        <w:pStyle w:val="bullet"/>
      </w:pPr>
      <w:r w:rsidRPr="007C2097">
        <w:t xml:space="preserve">provided for the conservation and protection of the natural resources in the area; and </w:t>
      </w:r>
    </w:p>
    <w:p w14:paraId="52C45AEB" w14:textId="77777777" w:rsidR="00062C6B" w:rsidRDefault="00062C6B" w:rsidP="000218C4">
      <w:pPr>
        <w:pStyle w:val="bullet"/>
      </w:pPr>
      <w:r w:rsidRPr="007C2097">
        <w:t>made good any damage to the seabed or subsoil</w:t>
      </w:r>
      <w:r>
        <w:t>.</w:t>
      </w:r>
    </w:p>
    <w:p w14:paraId="51E0BF8A" w14:textId="77777777" w:rsidR="00062C6B" w:rsidRDefault="00062C6B" w:rsidP="00CF3910">
      <w:pPr>
        <w:spacing w:before="240"/>
      </w:pPr>
      <w:r>
        <w:t>Failure to demonstrate that these matters have been carried out to the satisfaction of NOPSEMA may result in the Joint Authority refusing to consent to the surrender of the title.</w:t>
      </w:r>
    </w:p>
    <w:p w14:paraId="3620E6A0" w14:textId="46DCBF2E" w:rsidR="00062C6B" w:rsidRPr="007C2097" w:rsidRDefault="00062C6B" w:rsidP="00CF3910">
      <w:pPr>
        <w:keepNext/>
        <w:keepLines/>
        <w:rPr>
          <w:color w:val="5F5F5F"/>
        </w:rPr>
      </w:pPr>
      <w:bookmarkStart w:id="1" w:name="_Hlk159600591"/>
      <w:r>
        <w:rPr>
          <w:color w:val="5F5F5F"/>
        </w:rPr>
        <w:t>For further information about matters relating to the surrender of petroleum titles please refer to the</w:t>
      </w:r>
      <w:r w:rsidR="00632977" w:rsidRPr="00632977">
        <w:rPr>
          <w:i/>
          <w:iCs/>
          <w:color w:val="5F5F5F"/>
        </w:rPr>
        <w:t xml:space="preserve"> </w:t>
      </w:r>
      <w:hyperlink r:id="rId24" w:history="1">
        <w:r w:rsidR="00CF3910">
          <w:rPr>
            <w:rStyle w:val="Hyperlink"/>
            <w:i/>
            <w:iCs/>
          </w:rPr>
          <w:t>Offshore petroleum decommissioning guideline</w:t>
        </w:r>
      </w:hyperlink>
      <w:r w:rsidR="00E841DB">
        <w:t xml:space="preserve"> on NOPTA’s website.</w:t>
      </w:r>
    </w:p>
    <w:bookmarkEnd w:id="1"/>
    <w:p w14:paraId="273C6BA2" w14:textId="77777777" w:rsidR="00062C6B" w:rsidRDefault="00062C6B" w:rsidP="008E4254">
      <w:pPr>
        <w:pStyle w:val="Heading2"/>
      </w:pPr>
      <w:r>
        <w:t>Further information or questions</w:t>
      </w:r>
    </w:p>
    <w:p w14:paraId="53F9E1B8" w14:textId="77777777" w:rsidR="00062C6B" w:rsidRDefault="00062C6B" w:rsidP="00CF3910">
      <w:pPr>
        <w:keepNext/>
        <w:keepLines/>
      </w:pPr>
      <w:r>
        <w:t>If you have any questions about this factsheet, please contact NOPTA via</w:t>
      </w:r>
      <w:r>
        <w:rPr>
          <w:spacing w:val="-3"/>
        </w:rPr>
        <w:t xml:space="preserve"> </w:t>
      </w:r>
      <w:hyperlink r:id="rId25">
        <w:r>
          <w:rPr>
            <w:color w:val="0562C1"/>
            <w:u w:val="single" w:color="0562C1"/>
          </w:rPr>
          <w:t>titles@nopta.gov.au</w:t>
        </w:r>
        <w:r>
          <w:t>.</w:t>
        </w:r>
      </w:hyperlink>
    </w:p>
    <w:p w14:paraId="34552EB4" w14:textId="77777777" w:rsidR="00062C6B" w:rsidRPr="00DB40A5" w:rsidRDefault="00062C6B" w:rsidP="008E4254">
      <w:r w:rsidRPr="00DB40A5">
        <w:rPr>
          <w:b/>
        </w:rPr>
        <w:t xml:space="preserve">Please note: </w:t>
      </w:r>
      <w:r w:rsidRPr="00DB40A5">
        <w:t>this document is intended as a guide only and should not be relied on as legal advice or regarded as a substitute for legal advice in individual cases.</w:t>
      </w:r>
    </w:p>
    <w:p w14:paraId="42ED8795" w14:textId="77777777" w:rsidR="00062C6B" w:rsidRPr="00B80880" w:rsidRDefault="00062C6B" w:rsidP="008E4254">
      <w:pPr>
        <w:pStyle w:val="Heading2"/>
        <w:rPr>
          <w:lang w:eastAsia="en-AU"/>
        </w:rPr>
      </w:pPr>
      <w:bookmarkStart w:id="2" w:name="_Hlk15570741"/>
      <w:r w:rsidRPr="00B80880">
        <w:rPr>
          <w:lang w:eastAsia="en-AU"/>
        </w:rPr>
        <w:t xml:space="preserve">Version </w:t>
      </w:r>
      <w:r>
        <w:rPr>
          <w:lang w:eastAsia="en-AU"/>
        </w:rPr>
        <w:t>h</w:t>
      </w:r>
      <w:r w:rsidRPr="00B80880">
        <w:rPr>
          <w:lang w:eastAsia="en-AU"/>
        </w:rPr>
        <w:t>istory</w:t>
      </w:r>
    </w:p>
    <w:tbl>
      <w:tblPr>
        <w:tblStyle w:val="GridTable1Light11"/>
        <w:tblW w:w="4673" w:type="dxa"/>
        <w:tblLook w:val="0420" w:firstRow="1" w:lastRow="0" w:firstColumn="0" w:lastColumn="0" w:noHBand="0" w:noVBand="1"/>
      </w:tblPr>
      <w:tblGrid>
        <w:gridCol w:w="803"/>
        <w:gridCol w:w="1035"/>
        <w:gridCol w:w="2835"/>
      </w:tblGrid>
      <w:tr w:rsidR="00062C6B" w:rsidRPr="00062C6B" w14:paraId="118592C0" w14:textId="77777777" w:rsidTr="00544CAE">
        <w:trPr>
          <w:cnfStyle w:val="100000000000" w:firstRow="1" w:lastRow="0" w:firstColumn="0" w:lastColumn="0" w:oddVBand="0" w:evenVBand="0" w:oddHBand="0" w:evenHBand="0" w:firstRowFirstColumn="0" w:firstRowLastColumn="0" w:lastRowFirstColumn="0" w:lastRowLastColumn="0"/>
          <w:tblHeader/>
        </w:trPr>
        <w:tc>
          <w:tcPr>
            <w:tcW w:w="803" w:type="dxa"/>
          </w:tcPr>
          <w:p w14:paraId="2D7730F4" w14:textId="77777777" w:rsidR="00062C6B" w:rsidRPr="00062C6B" w:rsidRDefault="00062C6B" w:rsidP="008A10EE">
            <w:pPr>
              <w:widowControl w:val="0"/>
              <w:spacing w:before="60" w:after="60"/>
              <w:jc w:val="center"/>
              <w:rPr>
                <w:rFonts w:asciiTheme="minorHAnsi" w:hAnsiTheme="minorHAnsi" w:cstheme="minorHAnsi"/>
                <w:sz w:val="16"/>
                <w:szCs w:val="16"/>
              </w:rPr>
            </w:pPr>
            <w:r w:rsidRPr="00062C6B">
              <w:rPr>
                <w:rFonts w:asciiTheme="minorHAnsi" w:hAnsiTheme="minorHAnsi" w:cstheme="minorHAnsi"/>
                <w:sz w:val="16"/>
                <w:szCs w:val="16"/>
              </w:rPr>
              <w:t>Version</w:t>
            </w:r>
          </w:p>
        </w:tc>
        <w:tc>
          <w:tcPr>
            <w:tcW w:w="1035" w:type="dxa"/>
          </w:tcPr>
          <w:p w14:paraId="509DC19A" w14:textId="77777777" w:rsidR="00062C6B" w:rsidRPr="00062C6B" w:rsidRDefault="00062C6B" w:rsidP="008A10EE">
            <w:pPr>
              <w:widowControl w:val="0"/>
              <w:spacing w:before="60" w:after="60"/>
              <w:rPr>
                <w:rFonts w:asciiTheme="minorHAnsi" w:hAnsiTheme="minorHAnsi" w:cstheme="minorHAnsi"/>
                <w:sz w:val="16"/>
                <w:szCs w:val="16"/>
              </w:rPr>
            </w:pPr>
            <w:r w:rsidRPr="00062C6B">
              <w:rPr>
                <w:rFonts w:asciiTheme="minorHAnsi" w:hAnsiTheme="minorHAnsi" w:cstheme="minorHAnsi"/>
                <w:sz w:val="16"/>
                <w:szCs w:val="16"/>
              </w:rPr>
              <w:t>Date</w:t>
            </w:r>
          </w:p>
        </w:tc>
        <w:tc>
          <w:tcPr>
            <w:tcW w:w="2835" w:type="dxa"/>
          </w:tcPr>
          <w:p w14:paraId="4F191D4B" w14:textId="77777777" w:rsidR="00062C6B" w:rsidRPr="00062C6B" w:rsidRDefault="00062C6B" w:rsidP="008A10EE">
            <w:pPr>
              <w:widowControl w:val="0"/>
              <w:spacing w:before="60" w:after="60"/>
              <w:rPr>
                <w:rFonts w:asciiTheme="minorHAnsi" w:hAnsiTheme="minorHAnsi" w:cstheme="minorHAnsi"/>
                <w:sz w:val="16"/>
                <w:szCs w:val="16"/>
              </w:rPr>
            </w:pPr>
            <w:r w:rsidRPr="00062C6B">
              <w:rPr>
                <w:rFonts w:asciiTheme="minorHAnsi" w:hAnsiTheme="minorHAnsi" w:cstheme="minorHAnsi"/>
                <w:sz w:val="16"/>
                <w:szCs w:val="16"/>
              </w:rPr>
              <w:t>Comment</w:t>
            </w:r>
          </w:p>
        </w:tc>
      </w:tr>
      <w:tr w:rsidR="004530CE" w:rsidRPr="00062C6B" w14:paraId="5F32A79E" w14:textId="77777777" w:rsidTr="00CF3910">
        <w:tc>
          <w:tcPr>
            <w:tcW w:w="803" w:type="dxa"/>
          </w:tcPr>
          <w:p w14:paraId="093979A9" w14:textId="3AEA3CFB" w:rsidR="004530CE" w:rsidRDefault="004530CE" w:rsidP="00CF3910">
            <w:pPr>
              <w:widowControl w:val="0"/>
              <w:spacing w:before="60" w:after="60"/>
              <w:rPr>
                <w:rFonts w:ascii="Calibri" w:hAnsi="Calibri" w:cs="Calibri"/>
                <w:color w:val="5F5F5F"/>
                <w:sz w:val="16"/>
                <w:szCs w:val="16"/>
              </w:rPr>
            </w:pPr>
            <w:r>
              <w:rPr>
                <w:rFonts w:ascii="Calibri" w:hAnsi="Calibri" w:cs="Calibri"/>
                <w:color w:val="5F5F5F"/>
                <w:sz w:val="16"/>
                <w:szCs w:val="16"/>
              </w:rPr>
              <w:t>3.0</w:t>
            </w:r>
          </w:p>
        </w:tc>
        <w:tc>
          <w:tcPr>
            <w:tcW w:w="1035" w:type="dxa"/>
          </w:tcPr>
          <w:p w14:paraId="7CFD030F" w14:textId="73D64349" w:rsidR="004530CE" w:rsidRPr="003E14F7" w:rsidRDefault="00D1244B" w:rsidP="00E7657A">
            <w:pPr>
              <w:widowControl w:val="0"/>
              <w:tabs>
                <w:tab w:val="left" w:pos="371"/>
              </w:tabs>
              <w:spacing w:before="60" w:after="60"/>
              <w:rPr>
                <w:rFonts w:ascii="Calibri" w:hAnsi="Calibri" w:cs="Calibri"/>
                <w:color w:val="5F5F5F"/>
                <w:sz w:val="16"/>
                <w:szCs w:val="16"/>
                <w:highlight w:val="yellow"/>
              </w:rPr>
            </w:pPr>
            <w:r w:rsidRPr="002739F5">
              <w:rPr>
                <w:rFonts w:ascii="Calibri" w:hAnsi="Calibri" w:cs="Calibri"/>
                <w:color w:val="5F5F5F"/>
                <w:sz w:val="16"/>
                <w:szCs w:val="16"/>
              </w:rPr>
              <w:t>31</w:t>
            </w:r>
            <w:r w:rsidR="004530CE" w:rsidRPr="002739F5">
              <w:rPr>
                <w:rFonts w:ascii="Calibri" w:hAnsi="Calibri" w:cs="Calibri"/>
                <w:color w:val="5F5F5F"/>
                <w:sz w:val="16"/>
                <w:szCs w:val="16"/>
              </w:rPr>
              <w:t>/03/2026</w:t>
            </w:r>
          </w:p>
        </w:tc>
        <w:tc>
          <w:tcPr>
            <w:tcW w:w="2835" w:type="dxa"/>
            <w:vAlign w:val="center"/>
          </w:tcPr>
          <w:p w14:paraId="116B5F45" w14:textId="3A7BAC97" w:rsidR="004530CE" w:rsidRDefault="004530CE" w:rsidP="00B47239">
            <w:pPr>
              <w:widowControl w:val="0"/>
              <w:spacing w:before="60" w:after="60"/>
              <w:rPr>
                <w:rFonts w:ascii="Calibri" w:hAnsi="Calibri" w:cs="Calibri"/>
                <w:color w:val="5F5F5F"/>
                <w:sz w:val="16"/>
                <w:szCs w:val="16"/>
              </w:rPr>
            </w:pPr>
            <w:r>
              <w:rPr>
                <w:rFonts w:ascii="Calibri" w:hAnsi="Calibri" w:cs="Calibri"/>
                <w:color w:val="5F5F5F"/>
                <w:sz w:val="16"/>
                <w:szCs w:val="16"/>
              </w:rPr>
              <w:t>Update to RMA regulations reference</w:t>
            </w:r>
            <w:r w:rsidR="00FA377F">
              <w:rPr>
                <w:rFonts w:ascii="Calibri" w:hAnsi="Calibri" w:cs="Calibri"/>
                <w:color w:val="5F5F5F"/>
                <w:sz w:val="16"/>
                <w:szCs w:val="16"/>
              </w:rPr>
              <w:t>,</w:t>
            </w:r>
            <w:r>
              <w:rPr>
                <w:rFonts w:ascii="Calibri" w:hAnsi="Calibri" w:cs="Calibri"/>
                <w:color w:val="5F5F5F"/>
                <w:sz w:val="16"/>
                <w:szCs w:val="16"/>
              </w:rPr>
              <w:t xml:space="preserve"> layout, format, and links.</w:t>
            </w:r>
          </w:p>
        </w:tc>
      </w:tr>
      <w:tr w:rsidR="00062C6B" w:rsidRPr="00062C6B" w14:paraId="33BF1B21" w14:textId="77777777" w:rsidTr="00CF3910">
        <w:tc>
          <w:tcPr>
            <w:tcW w:w="803" w:type="dxa"/>
          </w:tcPr>
          <w:p w14:paraId="4C5B94AF" w14:textId="77777777" w:rsidR="00062C6B" w:rsidRPr="00062C6B" w:rsidRDefault="00062C6B" w:rsidP="00CF3910">
            <w:pPr>
              <w:widowControl w:val="0"/>
              <w:spacing w:before="60" w:after="60"/>
              <w:rPr>
                <w:rFonts w:asciiTheme="minorHAnsi" w:hAnsiTheme="minorHAnsi" w:cstheme="minorHAnsi"/>
                <w:sz w:val="16"/>
                <w:szCs w:val="16"/>
              </w:rPr>
            </w:pPr>
            <w:r w:rsidRPr="00062C6B">
              <w:rPr>
                <w:rFonts w:asciiTheme="minorHAnsi" w:hAnsiTheme="minorHAnsi" w:cstheme="minorHAnsi"/>
                <w:sz w:val="16"/>
                <w:szCs w:val="16"/>
              </w:rPr>
              <w:t>2.0</w:t>
            </w:r>
          </w:p>
        </w:tc>
        <w:tc>
          <w:tcPr>
            <w:tcW w:w="1035" w:type="dxa"/>
          </w:tcPr>
          <w:p w14:paraId="7063DB9B" w14:textId="77777777" w:rsidR="00062C6B" w:rsidRPr="00062C6B" w:rsidRDefault="00062C6B" w:rsidP="00E7657A">
            <w:pPr>
              <w:widowControl w:val="0"/>
              <w:tabs>
                <w:tab w:val="left" w:pos="371"/>
              </w:tabs>
              <w:spacing w:before="60" w:after="60"/>
              <w:rPr>
                <w:rFonts w:asciiTheme="minorHAnsi" w:hAnsiTheme="minorHAnsi" w:cstheme="minorHAnsi"/>
                <w:sz w:val="16"/>
                <w:szCs w:val="16"/>
              </w:rPr>
            </w:pPr>
            <w:r w:rsidRPr="00062C6B">
              <w:rPr>
                <w:rFonts w:asciiTheme="minorHAnsi" w:hAnsiTheme="minorHAnsi" w:cstheme="minorHAnsi"/>
                <w:sz w:val="16"/>
                <w:szCs w:val="16"/>
              </w:rPr>
              <w:t>17/02/2023</w:t>
            </w:r>
          </w:p>
        </w:tc>
        <w:tc>
          <w:tcPr>
            <w:tcW w:w="2835" w:type="dxa"/>
            <w:vAlign w:val="center"/>
          </w:tcPr>
          <w:p w14:paraId="41ECC7F0" w14:textId="77777777" w:rsidR="00062C6B" w:rsidRPr="00062C6B" w:rsidRDefault="00062C6B" w:rsidP="008A10EE">
            <w:pPr>
              <w:widowControl w:val="0"/>
              <w:spacing w:before="60" w:after="60"/>
              <w:rPr>
                <w:rFonts w:asciiTheme="minorHAnsi" w:hAnsiTheme="minorHAnsi" w:cstheme="minorHAnsi"/>
                <w:sz w:val="16"/>
                <w:szCs w:val="16"/>
              </w:rPr>
            </w:pPr>
            <w:r w:rsidRPr="00062C6B">
              <w:rPr>
                <w:rFonts w:asciiTheme="minorHAnsi" w:hAnsiTheme="minorHAnsi" w:cstheme="minorHAnsi"/>
                <w:sz w:val="16"/>
                <w:szCs w:val="16"/>
              </w:rPr>
              <w:t>Edit hyperlinks</w:t>
            </w:r>
          </w:p>
        </w:tc>
      </w:tr>
      <w:bookmarkEnd w:id="2"/>
    </w:tbl>
    <w:p w14:paraId="5B95DF3F" w14:textId="77777777" w:rsidR="00E7657A" w:rsidRDefault="00E7657A" w:rsidP="0023616F">
      <w:pPr>
        <w:widowControl w:val="0"/>
        <w:rPr>
          <w:kern w:val="0"/>
        </w:rPr>
      </w:pPr>
    </w:p>
    <w:p w14:paraId="222614D6" w14:textId="77777777" w:rsidR="00E841DB" w:rsidRDefault="00E841DB" w:rsidP="0023616F">
      <w:pPr>
        <w:widowControl w:val="0"/>
        <w:rPr>
          <w:kern w:val="0"/>
        </w:rPr>
      </w:pPr>
    </w:p>
    <w:p w14:paraId="554A3427" w14:textId="77777777" w:rsidR="008E4254" w:rsidRDefault="008E4254" w:rsidP="0023616F">
      <w:pPr>
        <w:widowControl w:val="0"/>
        <w:rPr>
          <w:kern w:val="0"/>
        </w:rPr>
      </w:pPr>
    </w:p>
    <w:p w14:paraId="767D4FB9" w14:textId="77777777" w:rsidR="008E4254" w:rsidRDefault="008E4254" w:rsidP="0023616F">
      <w:pPr>
        <w:widowControl w:val="0"/>
        <w:rPr>
          <w:kern w:val="0"/>
        </w:rPr>
      </w:pPr>
    </w:p>
    <w:p w14:paraId="63952655" w14:textId="77777777" w:rsidR="008E4254" w:rsidRDefault="008E4254" w:rsidP="0023616F">
      <w:pPr>
        <w:widowControl w:val="0"/>
        <w:rPr>
          <w:kern w:val="0"/>
        </w:rPr>
      </w:pPr>
    </w:p>
    <w:p w14:paraId="6E6A663B" w14:textId="77777777" w:rsidR="008E4254" w:rsidRDefault="008E4254" w:rsidP="0023616F">
      <w:pPr>
        <w:widowControl w:val="0"/>
        <w:rPr>
          <w:kern w:val="0"/>
        </w:rPr>
        <w:sectPr w:rsidR="008E4254" w:rsidSect="00CF3910">
          <w:type w:val="continuous"/>
          <w:pgSz w:w="11906" w:h="16838"/>
          <w:pgMar w:top="2552" w:right="851" w:bottom="851" w:left="851" w:header="709" w:footer="454" w:gutter="0"/>
          <w:cols w:num="2" w:space="340"/>
          <w:docGrid w:linePitch="360"/>
        </w:sectPr>
      </w:pPr>
    </w:p>
    <w:p w14:paraId="72C96DF3" w14:textId="77777777" w:rsidR="00363B0D" w:rsidRPr="00062C6B" w:rsidRDefault="00363B0D" w:rsidP="0052303E">
      <w:pPr>
        <w:widowControl w:val="0"/>
        <w:rPr>
          <w:kern w:val="0"/>
        </w:rPr>
      </w:pPr>
    </w:p>
    <w:sectPr w:rsidR="00363B0D" w:rsidRPr="00062C6B" w:rsidSect="002739F5">
      <w:headerReference w:type="default" r:id="rId26"/>
      <w:type w:val="continuous"/>
      <w:pgSz w:w="11906" w:h="16838"/>
      <w:pgMar w:top="2552" w:right="851" w:bottom="851" w:left="851" w:header="709" w:footer="261"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EDF5" w14:textId="77777777" w:rsidR="008D4EF4" w:rsidRDefault="008D4EF4" w:rsidP="00C83270">
      <w:pPr>
        <w:spacing w:before="0" w:after="0"/>
      </w:pPr>
      <w:r>
        <w:separator/>
      </w:r>
    </w:p>
  </w:endnote>
  <w:endnote w:type="continuationSeparator" w:id="0">
    <w:p w14:paraId="219F53F6" w14:textId="77777777" w:rsidR="008D4EF4" w:rsidRDefault="008D4EF4" w:rsidP="00C832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B7D" w14:textId="77777777" w:rsidR="00363B0D" w:rsidRDefault="00363B0D">
    <w:pPr>
      <w:pStyle w:val="Footer"/>
    </w:pPr>
    <w:r>
      <w:rPr>
        <w:noProof/>
      </w:rPr>
      <mc:AlternateContent>
        <mc:Choice Requires="wps">
          <w:drawing>
            <wp:anchor distT="0" distB="0" distL="0" distR="0" simplePos="0" relativeHeight="251667456" behindDoc="0" locked="0" layoutInCell="1" allowOverlap="1" wp14:anchorId="4603CD2A" wp14:editId="1AE2A644">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A6CB70">
            <v:shapetype id="_x0000_t202" coordsize="21600,21600" o:spt="202" path="m,l,21600r21600,l21600,xe" w14:anchorId="4603CD2A">
              <v:stroke joinstyle="miter"/>
              <v:path gradientshapeok="t" o:connecttype="rect"/>
            </v:shapetype>
            <v:shape id="Text Box 11"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AE1C7B" w:rsidR="00363B0D" w:rsidRDefault="00363B0D" w14:paraId="09E77742"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D79" w14:textId="011B329B" w:rsidR="00363B0D" w:rsidRDefault="00363B0D" w:rsidP="00E44ED2">
    <w:pPr>
      <w:pStyle w:val="Footer"/>
      <w:tabs>
        <w:tab w:val="clear" w:pos="4513"/>
        <w:tab w:val="clear" w:pos="9026"/>
        <w:tab w:val="left" w:pos="0"/>
        <w:tab w:val="center" w:pos="4860"/>
        <w:tab w:val="right" w:pos="10204"/>
      </w:tabs>
      <w:spacing w:before="0" w:after="0"/>
    </w:pPr>
    <w:r w:rsidRPr="00FF29A1">
      <w:rPr>
        <w:noProof/>
        <w:lang w:eastAsia="en-AU"/>
      </w:rPr>
      <mc:AlternateContent>
        <mc:Choice Requires="wps">
          <w:drawing>
            <wp:anchor distT="0" distB="0" distL="114300" distR="114300" simplePos="0" relativeHeight="251661312" behindDoc="0" locked="0" layoutInCell="1" allowOverlap="1" wp14:anchorId="041148A9" wp14:editId="416FC831">
              <wp:simplePos x="0" y="0"/>
              <wp:positionH relativeFrom="margin">
                <wp:posOffset>303</wp:posOffset>
              </wp:positionH>
              <wp:positionV relativeFrom="paragraph">
                <wp:posOffset>-66565</wp:posOffset>
              </wp:positionV>
              <wp:extent cx="6480313"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313" cy="0"/>
                      </a:xfrm>
                      <a:prstGeom prst="line">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w:pict w14:anchorId="69AC5A58">
            <v:line id="Line 4"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5b9bd5 [3208]" strokeweight="1.5pt" from="0,-5.25pt" to="510.25pt,-5.25pt" w14:anchorId="6C47C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">
              <v:stroke joinstyle="miter"/>
              <w10:wrap anchorx="margin"/>
            </v:line>
          </w:pict>
        </mc:Fallback>
      </mc:AlternateContent>
    </w:r>
    <w:hyperlink r:id="rId1" w:history="1">
      <w:r w:rsidRPr="00B729DE">
        <w:rPr>
          <w:rStyle w:val="Hyperlink"/>
        </w:rPr>
        <w:t>www.nopta.gov.au</w:t>
      </w:r>
    </w:hyperlink>
    <w:r>
      <w:t xml:space="preserve"> </w:t>
    </w:r>
    <w:r>
      <w:tab/>
    </w:r>
    <w:r>
      <w:tab/>
      <w:t>Version</w:t>
    </w:r>
    <w:r w:rsidR="00B47239">
      <w:t xml:space="preserve"> 3</w:t>
    </w:r>
    <w:r w:rsidR="00E44ED2" w:rsidRPr="00E44ED2">
      <w:t xml:space="preserve">: </w:t>
    </w:r>
    <w:r w:rsidR="00FA377F">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A88" w14:textId="77777777" w:rsidR="00363B0D" w:rsidRDefault="00363B0D">
    <w:pPr>
      <w:pStyle w:val="Footer"/>
    </w:pPr>
    <w:r>
      <w:rPr>
        <w:noProof/>
      </w:rPr>
      <mc:AlternateContent>
        <mc:Choice Requires="wps">
          <w:drawing>
            <wp:anchor distT="0" distB="0" distL="0" distR="0" simplePos="0" relativeHeight="251666432" behindDoc="0" locked="0" layoutInCell="1" allowOverlap="1" wp14:anchorId="4ECB2AF3" wp14:editId="633B9985">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840C47">
            <v:shapetype id="_x0000_t202" coordsize="21600,21600" o:spt="202" path="m,l,21600r21600,l21600,xe" w14:anchorId="4ECB2AF3">
              <v:stroke joinstyle="miter"/>
              <v:path gradientshapeok="t" o:connecttype="rect"/>
            </v:shapetype>
            <v:shape id="Text Box 10"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AE1C7B" w:rsidR="00363B0D" w:rsidRDefault="00363B0D" w14:paraId="17D1F485"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B1DA" w14:textId="77777777" w:rsidR="008D4EF4" w:rsidRDefault="008D4EF4" w:rsidP="00C83270">
      <w:pPr>
        <w:spacing w:before="0" w:after="0"/>
      </w:pPr>
      <w:r>
        <w:separator/>
      </w:r>
    </w:p>
  </w:footnote>
  <w:footnote w:type="continuationSeparator" w:id="0">
    <w:p w14:paraId="6CF7E7E5" w14:textId="77777777" w:rsidR="008D4EF4" w:rsidRDefault="008D4EF4" w:rsidP="00C83270">
      <w:pPr>
        <w:spacing w:before="0" w:after="0"/>
      </w:pPr>
      <w:r>
        <w:continuationSeparator/>
      </w:r>
    </w:p>
  </w:footnote>
  <w:footnote w:id="1">
    <w:p w14:paraId="7C1BFAC5" w14:textId="3D3EF438" w:rsidR="00062C6B" w:rsidRPr="003B6CBC" w:rsidRDefault="00062C6B" w:rsidP="00062C6B">
      <w:pPr>
        <w:pStyle w:val="FootnoteText"/>
        <w:rPr>
          <w:color w:val="5F5F5F"/>
          <w:sz w:val="10"/>
          <w:szCs w:val="10"/>
          <w:lang w:val="en-AU"/>
        </w:rPr>
      </w:pPr>
      <w:r w:rsidRPr="003B6CBC">
        <w:rPr>
          <w:rStyle w:val="FootnoteReference"/>
          <w:color w:val="5F5F5F"/>
          <w:sz w:val="10"/>
          <w:szCs w:val="10"/>
        </w:rPr>
        <w:footnoteRef/>
      </w:r>
      <w:r w:rsidRPr="003B6CBC">
        <w:rPr>
          <w:color w:val="5F5F5F"/>
          <w:sz w:val="10"/>
          <w:szCs w:val="10"/>
        </w:rPr>
        <w:t xml:space="preserve"> </w:t>
      </w:r>
      <w:r w:rsidRPr="003B6CBC">
        <w:rPr>
          <w:color w:val="5F5F5F"/>
          <w:sz w:val="10"/>
          <w:szCs w:val="10"/>
          <w:lang w:val="en-AU"/>
        </w:rPr>
        <w:t>Note: a ‘secondary line’, as defined in section 7 of the OPGGS Act is not a pipeline within the meaning of Part 2.6 of the OPGGS Act, and therefore is not captured by section 228</w:t>
      </w:r>
      <w:r w:rsidR="00632977" w:rsidRPr="003B6CBC">
        <w:rPr>
          <w:color w:val="5F5F5F"/>
          <w:sz w:val="10"/>
          <w:szCs w:val="10"/>
          <w:lang w:val="en-AU"/>
        </w:rPr>
        <w:t xml:space="preserve"> of the OPGGS Act</w:t>
      </w:r>
      <w:r w:rsidRPr="003B6CBC">
        <w:rPr>
          <w:color w:val="5F5F5F"/>
          <w:sz w:val="10"/>
          <w:szCs w:val="10"/>
          <w:lang w:val="en-AU"/>
        </w:rPr>
        <w:t>.</w:t>
      </w:r>
    </w:p>
    <w:p w14:paraId="587054EC" w14:textId="77777777" w:rsidR="00062C6B" w:rsidRPr="00835A13" w:rsidRDefault="00062C6B" w:rsidP="00062C6B">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DBE" w14:textId="77777777" w:rsidR="00363B0D" w:rsidRDefault="00363B0D">
    <w:pPr>
      <w:pStyle w:val="Header"/>
    </w:pPr>
    <w:r>
      <w:rPr>
        <w:noProof/>
      </w:rPr>
      <mc:AlternateContent>
        <mc:Choice Requires="wps">
          <w:drawing>
            <wp:anchor distT="0" distB="0" distL="0" distR="0" simplePos="0" relativeHeight="251664384" behindDoc="0" locked="0" layoutInCell="1" allowOverlap="1" wp14:anchorId="77AB75F9" wp14:editId="07D9DA34">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BE574B5">
            <v:shapetype id="_x0000_t202" coordsize="21600,21600" o:spt="202" path="m,l,21600r21600,l21600,xe" w14:anchorId="77AB75F9">
              <v:stroke joinstyle="miter"/>
              <v:path gradientshapeok="t" o:connecttype="rect"/>
            </v:shapetype>
            <v:shape id="Text Box 3"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E1C7B" w:rsidR="00363B0D" w:rsidRDefault="00363B0D" w14:paraId="75F360E3"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FAD" w14:textId="003A679E" w:rsidR="00363B0D" w:rsidRDefault="00363B0D" w:rsidP="00C3747D">
    <w:pPr>
      <w:pStyle w:val="Header"/>
    </w:pPr>
    <w:r>
      <w:rPr>
        <w:noProof/>
      </w:rPr>
      <w:drawing>
        <wp:anchor distT="0" distB="0" distL="114300" distR="114300" simplePos="0" relativeHeight="251662336" behindDoc="0" locked="0" layoutInCell="1" allowOverlap="1" wp14:anchorId="49C77CE8" wp14:editId="050FB0F1">
          <wp:simplePos x="0" y="0"/>
          <wp:positionH relativeFrom="page">
            <wp:posOffset>-17145</wp:posOffset>
          </wp:positionH>
          <wp:positionV relativeFrom="page">
            <wp:posOffset>-26670</wp:posOffset>
          </wp:positionV>
          <wp:extent cx="7563600" cy="1562400"/>
          <wp:effectExtent l="0" t="0" r="0" b="0"/>
          <wp:wrapNone/>
          <wp:docPr id="275604692" name="Picture 275604692"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6B7" w14:textId="77777777" w:rsidR="00363B0D" w:rsidRDefault="00363B0D">
    <w:pPr>
      <w:pStyle w:val="Header"/>
    </w:pPr>
    <w:r>
      <w:rPr>
        <w:noProof/>
      </w:rPr>
      <mc:AlternateContent>
        <mc:Choice Requires="wps">
          <w:drawing>
            <wp:anchor distT="0" distB="0" distL="0" distR="0" simplePos="0" relativeHeight="251663360" behindDoc="0" locked="0" layoutInCell="1" allowOverlap="1" wp14:anchorId="4A370031" wp14:editId="3B0F2354">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7A5B961">
            <v:shapetype id="_x0000_t202" coordsize="21600,21600" o:spt="202" path="m,l,21600r21600,l21600,xe" w14:anchorId="4A370031">
              <v:stroke joinstyle="miter"/>
              <v:path gradientshapeok="t" o:connecttype="rect"/>
            </v:shapetype>
            <v:shape id="Text Box 2"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AE1C7B" w:rsidR="00363B0D" w:rsidRDefault="00363B0D" w14:paraId="08CE8BEA"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3E6" w14:textId="4207733E" w:rsidR="00C83270" w:rsidRDefault="00C83270">
    <w:pPr>
      <w:pStyle w:val="Header"/>
    </w:pPr>
    <w:r>
      <w:rPr>
        <w:noProof/>
      </w:rPr>
      <w:drawing>
        <wp:anchor distT="0" distB="0" distL="114300" distR="114300" simplePos="0" relativeHeight="251659264" behindDoc="0" locked="0" layoutInCell="1" allowOverlap="1" wp14:anchorId="32DCF2B5" wp14:editId="56255FBE">
          <wp:simplePos x="0" y="0"/>
          <wp:positionH relativeFrom="page">
            <wp:posOffset>-17145</wp:posOffset>
          </wp:positionH>
          <wp:positionV relativeFrom="page">
            <wp:posOffset>-34877</wp:posOffset>
          </wp:positionV>
          <wp:extent cx="7617125" cy="1562100"/>
          <wp:effectExtent l="0" t="0" r="3175" b="0"/>
          <wp:wrapNone/>
          <wp:docPr id="134498451" name="Picture 1344984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1712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7E6C"/>
    <w:multiLevelType w:val="hybridMultilevel"/>
    <w:tmpl w:val="AD808852"/>
    <w:lvl w:ilvl="0" w:tplc="53FE9E3A">
      <w:start w:val="1"/>
      <w:numFmt w:val="low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8E7"/>
    <w:multiLevelType w:val="hybridMultilevel"/>
    <w:tmpl w:val="D4FECA80"/>
    <w:lvl w:ilvl="0" w:tplc="0AD280B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BEA099B"/>
    <w:multiLevelType w:val="hybridMultilevel"/>
    <w:tmpl w:val="9914F95C"/>
    <w:lvl w:ilvl="0" w:tplc="FD100310">
      <w:start w:val="1"/>
      <w:numFmt w:val="bullet"/>
      <w:pStyle w:val="bullet"/>
      <w:lvlText w:val=""/>
      <w:lvlJc w:val="left"/>
      <w:pPr>
        <w:ind w:left="1162" w:hanging="360"/>
      </w:pPr>
      <w:rPr>
        <w:rFonts w:ascii="Symbol" w:hAnsi="Symbol" w:hint="default"/>
      </w:rPr>
    </w:lvl>
    <w:lvl w:ilvl="1" w:tplc="0C090003">
      <w:start w:val="1"/>
      <w:numFmt w:val="bullet"/>
      <w:lvlText w:val="o"/>
      <w:lvlJc w:val="left"/>
      <w:pPr>
        <w:ind w:left="1882" w:hanging="360"/>
      </w:pPr>
      <w:rPr>
        <w:rFonts w:ascii="Courier New" w:hAnsi="Courier New" w:cs="Courier New" w:hint="default"/>
      </w:rPr>
    </w:lvl>
    <w:lvl w:ilvl="2" w:tplc="0C090005" w:tentative="1">
      <w:start w:val="1"/>
      <w:numFmt w:val="bullet"/>
      <w:lvlText w:val=""/>
      <w:lvlJc w:val="left"/>
      <w:pPr>
        <w:ind w:left="2602" w:hanging="360"/>
      </w:pPr>
      <w:rPr>
        <w:rFonts w:ascii="Wingdings" w:hAnsi="Wingdings" w:hint="default"/>
      </w:rPr>
    </w:lvl>
    <w:lvl w:ilvl="3" w:tplc="0C090001" w:tentative="1">
      <w:start w:val="1"/>
      <w:numFmt w:val="bullet"/>
      <w:lvlText w:val=""/>
      <w:lvlJc w:val="left"/>
      <w:pPr>
        <w:ind w:left="3322" w:hanging="360"/>
      </w:pPr>
      <w:rPr>
        <w:rFonts w:ascii="Symbol" w:hAnsi="Symbol" w:hint="default"/>
      </w:rPr>
    </w:lvl>
    <w:lvl w:ilvl="4" w:tplc="0C090003" w:tentative="1">
      <w:start w:val="1"/>
      <w:numFmt w:val="bullet"/>
      <w:lvlText w:val="o"/>
      <w:lvlJc w:val="left"/>
      <w:pPr>
        <w:ind w:left="4042" w:hanging="360"/>
      </w:pPr>
      <w:rPr>
        <w:rFonts w:ascii="Courier New" w:hAnsi="Courier New" w:cs="Courier New" w:hint="default"/>
      </w:rPr>
    </w:lvl>
    <w:lvl w:ilvl="5" w:tplc="0C090005" w:tentative="1">
      <w:start w:val="1"/>
      <w:numFmt w:val="bullet"/>
      <w:lvlText w:val=""/>
      <w:lvlJc w:val="left"/>
      <w:pPr>
        <w:ind w:left="4762" w:hanging="360"/>
      </w:pPr>
      <w:rPr>
        <w:rFonts w:ascii="Wingdings" w:hAnsi="Wingdings" w:hint="default"/>
      </w:rPr>
    </w:lvl>
    <w:lvl w:ilvl="6" w:tplc="0C090001" w:tentative="1">
      <w:start w:val="1"/>
      <w:numFmt w:val="bullet"/>
      <w:lvlText w:val=""/>
      <w:lvlJc w:val="left"/>
      <w:pPr>
        <w:ind w:left="5482" w:hanging="360"/>
      </w:pPr>
      <w:rPr>
        <w:rFonts w:ascii="Symbol" w:hAnsi="Symbol" w:hint="default"/>
      </w:rPr>
    </w:lvl>
    <w:lvl w:ilvl="7" w:tplc="0C090003" w:tentative="1">
      <w:start w:val="1"/>
      <w:numFmt w:val="bullet"/>
      <w:lvlText w:val="o"/>
      <w:lvlJc w:val="left"/>
      <w:pPr>
        <w:ind w:left="6202" w:hanging="360"/>
      </w:pPr>
      <w:rPr>
        <w:rFonts w:ascii="Courier New" w:hAnsi="Courier New" w:cs="Courier New" w:hint="default"/>
      </w:rPr>
    </w:lvl>
    <w:lvl w:ilvl="8" w:tplc="0C090005" w:tentative="1">
      <w:start w:val="1"/>
      <w:numFmt w:val="bullet"/>
      <w:lvlText w:val=""/>
      <w:lvlJc w:val="left"/>
      <w:pPr>
        <w:ind w:left="6922" w:hanging="360"/>
      </w:pPr>
      <w:rPr>
        <w:rFonts w:ascii="Wingdings" w:hAnsi="Wingdings" w:hint="default"/>
      </w:rPr>
    </w:lvl>
  </w:abstractNum>
  <w:abstractNum w:abstractNumId="3" w15:restartNumberingAfterBreak="0">
    <w:nsid w:val="666D20F7"/>
    <w:multiLevelType w:val="hybridMultilevel"/>
    <w:tmpl w:val="AED6E820"/>
    <w:lvl w:ilvl="0" w:tplc="CF8CE378">
      <w:start w:val="1"/>
      <w:numFmt w:val="lowerLetter"/>
      <w:lvlText w:val="(%1)"/>
      <w:lvlJc w:val="left"/>
      <w:pPr>
        <w:ind w:left="544" w:hanging="425"/>
      </w:pPr>
      <w:rPr>
        <w:rFonts w:ascii="Calibri" w:eastAsia="Calibri" w:hAnsi="Calibri" w:cs="Calibri" w:hint="default"/>
        <w:b/>
        <w:b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4" w15:restartNumberingAfterBreak="0">
    <w:nsid w:val="670F6AE9"/>
    <w:multiLevelType w:val="hybridMultilevel"/>
    <w:tmpl w:val="FCC6E190"/>
    <w:lvl w:ilvl="0" w:tplc="E9E469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77641564">
    <w:abstractNumId w:val="1"/>
  </w:num>
  <w:num w:numId="2" w16cid:durableId="147476597">
    <w:abstractNumId w:val="3"/>
  </w:num>
  <w:num w:numId="3" w16cid:durableId="1015115606">
    <w:abstractNumId w:val="2"/>
  </w:num>
  <w:num w:numId="4" w16cid:durableId="1993365427">
    <w:abstractNumId w:val="4"/>
  </w:num>
  <w:num w:numId="5" w16cid:durableId="10042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0"/>
    <w:rsid w:val="000218C4"/>
    <w:rsid w:val="00055BE3"/>
    <w:rsid w:val="00062C6B"/>
    <w:rsid w:val="0008417E"/>
    <w:rsid w:val="000B5610"/>
    <w:rsid w:val="000F4F81"/>
    <w:rsid w:val="00124580"/>
    <w:rsid w:val="00132482"/>
    <w:rsid w:val="001667D6"/>
    <w:rsid w:val="00177C18"/>
    <w:rsid w:val="001837EB"/>
    <w:rsid w:val="001E3873"/>
    <w:rsid w:val="001E4624"/>
    <w:rsid w:val="0023616F"/>
    <w:rsid w:val="00247C85"/>
    <w:rsid w:val="002739F5"/>
    <w:rsid w:val="00291376"/>
    <w:rsid w:val="003158E0"/>
    <w:rsid w:val="0035420F"/>
    <w:rsid w:val="00363B0D"/>
    <w:rsid w:val="0037786E"/>
    <w:rsid w:val="00381845"/>
    <w:rsid w:val="00387FFA"/>
    <w:rsid w:val="003B6CBC"/>
    <w:rsid w:val="004530CE"/>
    <w:rsid w:val="00483000"/>
    <w:rsid w:val="004D298E"/>
    <w:rsid w:val="004D3B68"/>
    <w:rsid w:val="00500FD4"/>
    <w:rsid w:val="0052303E"/>
    <w:rsid w:val="00551840"/>
    <w:rsid w:val="005A6D6C"/>
    <w:rsid w:val="00632977"/>
    <w:rsid w:val="00685934"/>
    <w:rsid w:val="006F4F5B"/>
    <w:rsid w:val="00727FBC"/>
    <w:rsid w:val="007433E4"/>
    <w:rsid w:val="007557F4"/>
    <w:rsid w:val="0077084C"/>
    <w:rsid w:val="00770954"/>
    <w:rsid w:val="00773542"/>
    <w:rsid w:val="007910D4"/>
    <w:rsid w:val="00794552"/>
    <w:rsid w:val="00794A12"/>
    <w:rsid w:val="007B0FFE"/>
    <w:rsid w:val="008101F5"/>
    <w:rsid w:val="0081203A"/>
    <w:rsid w:val="0081229B"/>
    <w:rsid w:val="00815DD6"/>
    <w:rsid w:val="0082163C"/>
    <w:rsid w:val="00854E58"/>
    <w:rsid w:val="008A10EE"/>
    <w:rsid w:val="008D4EF4"/>
    <w:rsid w:val="008E3E2D"/>
    <w:rsid w:val="008E4254"/>
    <w:rsid w:val="008F3BD8"/>
    <w:rsid w:val="00903F7A"/>
    <w:rsid w:val="009861E9"/>
    <w:rsid w:val="0099050A"/>
    <w:rsid w:val="00996A8E"/>
    <w:rsid w:val="00A20756"/>
    <w:rsid w:val="00A62130"/>
    <w:rsid w:val="00AB2D53"/>
    <w:rsid w:val="00AE310F"/>
    <w:rsid w:val="00B147D6"/>
    <w:rsid w:val="00B21574"/>
    <w:rsid w:val="00B24920"/>
    <w:rsid w:val="00B400F6"/>
    <w:rsid w:val="00B43176"/>
    <w:rsid w:val="00B47239"/>
    <w:rsid w:val="00B672F7"/>
    <w:rsid w:val="00B77319"/>
    <w:rsid w:val="00B80AFA"/>
    <w:rsid w:val="00B925AD"/>
    <w:rsid w:val="00BC6D68"/>
    <w:rsid w:val="00BE3995"/>
    <w:rsid w:val="00C46751"/>
    <w:rsid w:val="00C83270"/>
    <w:rsid w:val="00CB49E1"/>
    <w:rsid w:val="00CC0AF5"/>
    <w:rsid w:val="00CE5441"/>
    <w:rsid w:val="00CF3910"/>
    <w:rsid w:val="00D07E1A"/>
    <w:rsid w:val="00D1244B"/>
    <w:rsid w:val="00D320FE"/>
    <w:rsid w:val="00D514F4"/>
    <w:rsid w:val="00D8245D"/>
    <w:rsid w:val="00D93C15"/>
    <w:rsid w:val="00DB40A5"/>
    <w:rsid w:val="00DD253C"/>
    <w:rsid w:val="00E053E4"/>
    <w:rsid w:val="00E431EB"/>
    <w:rsid w:val="00E44ED2"/>
    <w:rsid w:val="00E7657A"/>
    <w:rsid w:val="00E841DB"/>
    <w:rsid w:val="00E926CA"/>
    <w:rsid w:val="00EA7075"/>
    <w:rsid w:val="00EA7EE7"/>
    <w:rsid w:val="00ED346A"/>
    <w:rsid w:val="00EF46FB"/>
    <w:rsid w:val="00F30AC8"/>
    <w:rsid w:val="00F94158"/>
    <w:rsid w:val="00FA377F"/>
    <w:rsid w:val="00FA5801"/>
    <w:rsid w:val="00FD36AB"/>
    <w:rsid w:val="00FD6451"/>
    <w:rsid w:val="00FE2128"/>
    <w:rsid w:val="046A24D5"/>
    <w:rsid w:val="3BF85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3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5D"/>
    <w:pPr>
      <w:spacing w:before="120" w:after="240" w:line="240" w:lineRule="auto"/>
    </w:pPr>
    <w:rPr>
      <w:rFonts w:ascii="Aptos" w:hAnsi="Aptos"/>
      <w:color w:val="565751"/>
      <w:sz w:val="20"/>
    </w:rPr>
  </w:style>
  <w:style w:type="paragraph" w:styleId="Heading1">
    <w:name w:val="heading 1"/>
    <w:basedOn w:val="Title"/>
    <w:next w:val="Normal"/>
    <w:link w:val="Heading1Char"/>
    <w:autoRedefine/>
    <w:uiPriority w:val="9"/>
    <w:qFormat/>
    <w:rsid w:val="006F4F5B"/>
    <w:pPr>
      <w:spacing w:before="0" w:after="120"/>
      <w:outlineLvl w:val="0"/>
    </w:pPr>
    <w:rPr>
      <w:rFonts w:ascii="Aptos Display" w:hAnsi="Aptos Display"/>
      <w:b w:val="0"/>
      <w:sz w:val="52"/>
    </w:rPr>
  </w:style>
  <w:style w:type="paragraph" w:styleId="Heading2">
    <w:name w:val="heading 2"/>
    <w:basedOn w:val="Heading1"/>
    <w:next w:val="Normal"/>
    <w:link w:val="Heading2Char"/>
    <w:autoRedefine/>
    <w:unhideWhenUsed/>
    <w:qFormat/>
    <w:rsid w:val="008E4254"/>
    <w:pPr>
      <w:keepNext/>
      <w:keepLines/>
      <w:widowControl w:val="0"/>
      <w:spacing w:before="240"/>
      <w:outlineLvl w:val="1"/>
    </w:pPr>
    <w:rPr>
      <w:rFonts w:ascii="Aptos" w:hAnsi="Aptos"/>
      <w:b/>
      <w:sz w:val="24"/>
    </w:rPr>
  </w:style>
  <w:style w:type="paragraph" w:styleId="Heading3">
    <w:name w:val="heading 3"/>
    <w:basedOn w:val="Normal"/>
    <w:next w:val="Normal"/>
    <w:link w:val="Heading3Char"/>
    <w:autoRedefine/>
    <w:uiPriority w:val="9"/>
    <w:unhideWhenUsed/>
    <w:qFormat/>
    <w:rsid w:val="00ED346A"/>
    <w:pPr>
      <w:keepNext/>
      <w:widowControl w:val="0"/>
      <w:spacing w:before="240" w:after="120"/>
      <w:outlineLvl w:val="2"/>
    </w:pPr>
    <w:rPr>
      <w:rFonts w:eastAsiaTheme="majorEastAsia" w:cstheme="majorBidi"/>
      <w:b/>
      <w:color w:val="27639B"/>
      <w:szCs w:val="24"/>
      <w:u w:val="single"/>
    </w:rPr>
  </w:style>
  <w:style w:type="paragraph" w:styleId="Heading4">
    <w:name w:val="heading 4"/>
    <w:basedOn w:val="Normal"/>
    <w:next w:val="Normal"/>
    <w:link w:val="Heading4Char"/>
    <w:autoRedefine/>
    <w:uiPriority w:val="9"/>
    <w:unhideWhenUsed/>
    <w:qFormat/>
    <w:rsid w:val="00551840"/>
    <w:pPr>
      <w:keepNext/>
      <w:keepLines/>
      <w:spacing w:before="100" w:beforeAutospacing="1" w:after="100" w:afterAutospacing="1"/>
      <w:outlineLvl w:val="3"/>
    </w:pPr>
    <w:rPr>
      <w:rFonts w:asciiTheme="majorHAnsi" w:eastAsiaTheme="majorEastAsia" w:hAnsiTheme="majorHAnsi" w:cstheme="majorBidi"/>
      <w:i/>
      <w:iCs/>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rPr>
      <w:b/>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6F4F5B"/>
    <w:rPr>
      <w:rFonts w:ascii="Aptos Display" w:eastAsiaTheme="majorEastAsia" w:hAnsi="Aptos Display" w:cstheme="majorBidi"/>
      <w:color w:val="27639B"/>
      <w:spacing w:val="-10"/>
      <w:kern w:val="28"/>
      <w:sz w:val="52"/>
      <w:szCs w:val="56"/>
    </w:rPr>
  </w:style>
  <w:style w:type="character" w:customStyle="1" w:styleId="Heading2Char">
    <w:name w:val="Heading 2 Char"/>
    <w:basedOn w:val="DefaultParagraphFont"/>
    <w:link w:val="Heading2"/>
    <w:rsid w:val="008E4254"/>
    <w:rPr>
      <w:rFonts w:ascii="Aptos" w:eastAsiaTheme="majorEastAsia" w:hAnsi="Aptos" w:cstheme="majorBidi"/>
      <w:b/>
      <w:color w:val="27639B"/>
      <w:spacing w:val="-10"/>
      <w:kern w:val="28"/>
      <w:sz w:val="24"/>
      <w:szCs w:val="56"/>
    </w:rPr>
  </w:style>
  <w:style w:type="paragraph" w:styleId="Header">
    <w:name w:val="header"/>
    <w:basedOn w:val="Normal"/>
    <w:link w:val="HeaderChar"/>
    <w:unhideWhenUsed/>
    <w:rsid w:val="00C83270"/>
    <w:pPr>
      <w:tabs>
        <w:tab w:val="center" w:pos="4513"/>
        <w:tab w:val="right" w:pos="9026"/>
      </w:tabs>
    </w:pPr>
  </w:style>
  <w:style w:type="character" w:customStyle="1" w:styleId="HeaderChar">
    <w:name w:val="Header Char"/>
    <w:basedOn w:val="DefaultParagraphFont"/>
    <w:link w:val="Header"/>
    <w:rsid w:val="00C83270"/>
  </w:style>
  <w:style w:type="paragraph" w:styleId="Footer">
    <w:name w:val="footer"/>
    <w:basedOn w:val="Normal"/>
    <w:link w:val="FooterChar"/>
    <w:unhideWhenUsed/>
    <w:rsid w:val="00C83270"/>
    <w:pPr>
      <w:tabs>
        <w:tab w:val="center" w:pos="4513"/>
        <w:tab w:val="right" w:pos="9026"/>
      </w:tabs>
    </w:pPr>
  </w:style>
  <w:style w:type="character" w:customStyle="1" w:styleId="FooterChar">
    <w:name w:val="Footer Char"/>
    <w:basedOn w:val="DefaultParagraphFont"/>
    <w:link w:val="Footer"/>
    <w:rsid w:val="00C83270"/>
  </w:style>
  <w:style w:type="character" w:customStyle="1" w:styleId="Heading3Char">
    <w:name w:val="Heading 3 Char"/>
    <w:basedOn w:val="DefaultParagraphFont"/>
    <w:link w:val="Heading3"/>
    <w:uiPriority w:val="9"/>
    <w:rsid w:val="00ED346A"/>
    <w:rPr>
      <w:rFonts w:ascii="Aptos" w:eastAsiaTheme="majorEastAsia" w:hAnsi="Aptos" w:cstheme="majorBidi"/>
      <w:b/>
      <w:color w:val="27639B"/>
      <w:sz w:val="20"/>
      <w:szCs w:val="24"/>
      <w:u w:val="single"/>
    </w:rPr>
  </w:style>
  <w:style w:type="paragraph" w:styleId="Title">
    <w:name w:val="Title"/>
    <w:basedOn w:val="Normal"/>
    <w:next w:val="Normal"/>
    <w:link w:val="TitleChar"/>
    <w:uiPriority w:val="10"/>
    <w:qFormat/>
    <w:rsid w:val="00363B0D"/>
    <w:rPr>
      <w:rFonts w:eastAsiaTheme="majorEastAsia" w:cstheme="majorBidi"/>
      <w:b/>
      <w:color w:val="27639B"/>
      <w:spacing w:val="-10"/>
      <w:kern w:val="28"/>
      <w:sz w:val="44"/>
      <w:szCs w:val="56"/>
    </w:rPr>
  </w:style>
  <w:style w:type="character" w:customStyle="1" w:styleId="TitleChar">
    <w:name w:val="Title Char"/>
    <w:basedOn w:val="DefaultParagraphFont"/>
    <w:link w:val="Title"/>
    <w:uiPriority w:val="10"/>
    <w:rsid w:val="00363B0D"/>
    <w:rPr>
      <w:rFonts w:eastAsiaTheme="majorEastAsia" w:cstheme="majorBidi"/>
      <w:b/>
      <w:color w:val="27639B"/>
      <w:spacing w:val="-10"/>
      <w:kern w:val="28"/>
      <w:sz w:val="44"/>
      <w:szCs w:val="56"/>
    </w:rPr>
  </w:style>
  <w:style w:type="character" w:styleId="Hyperlink">
    <w:name w:val="Hyperlink"/>
    <w:basedOn w:val="DefaultParagraphFont"/>
    <w:uiPriority w:val="99"/>
    <w:unhideWhenUsed/>
    <w:rsid w:val="00363B0D"/>
    <w:rPr>
      <w:color w:val="0563C1" w:themeColor="hyperlink"/>
      <w:u w:val="single"/>
    </w:rPr>
  </w:style>
  <w:style w:type="table" w:styleId="TableGrid">
    <w:name w:val="Table Grid"/>
    <w:basedOn w:val="TableNormal"/>
    <w:uiPriority w:val="39"/>
    <w:rsid w:val="00D93C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93C15"/>
    <w:pPr>
      <w:keepNext/>
      <w:keepLines/>
      <w:outlineLvl w:val="0"/>
    </w:pPr>
    <w:rPr>
      <w:rFonts w:eastAsiaTheme="majorEastAsia" w:cstheme="minorHAnsi"/>
      <w:b/>
      <w:color w:val="27639B"/>
      <w:sz w:val="24"/>
      <w:szCs w:val="48"/>
    </w:rPr>
  </w:style>
  <w:style w:type="paragraph" w:styleId="ListParagraph">
    <w:name w:val="List Paragraph"/>
    <w:basedOn w:val="BodyText"/>
    <w:link w:val="ListParagraphChar"/>
    <w:uiPriority w:val="34"/>
    <w:qFormat/>
    <w:rsid w:val="006F4F5B"/>
    <w:pPr>
      <w:numPr>
        <w:numId w:val="5"/>
      </w:numPr>
    </w:pPr>
  </w:style>
  <w:style w:type="paragraph" w:customStyle="1" w:styleId="bullet">
    <w:name w:val="bullet"/>
    <w:basedOn w:val="BodyText"/>
    <w:link w:val="bulletChar"/>
    <w:autoRedefine/>
    <w:qFormat/>
    <w:rsid w:val="00996A8E"/>
    <w:pPr>
      <w:numPr>
        <w:numId w:val="3"/>
      </w:numPr>
      <w:spacing w:before="120" w:after="0"/>
      <w:ind w:left="567" w:right="476" w:hanging="357"/>
    </w:pPr>
  </w:style>
  <w:style w:type="character" w:customStyle="1" w:styleId="ListParagraphChar">
    <w:name w:val="List Paragraph Char"/>
    <w:basedOn w:val="DefaultParagraphFont"/>
    <w:link w:val="ListParagraph"/>
    <w:uiPriority w:val="34"/>
    <w:rsid w:val="006F4F5B"/>
    <w:rPr>
      <w:rFonts w:ascii="Aptos" w:eastAsia="Calibri" w:hAnsi="Aptos" w:cs="Calibri"/>
      <w:color w:val="5F5F5F"/>
      <w:kern w:val="0"/>
      <w:sz w:val="20"/>
      <w:szCs w:val="20"/>
      <w:lang w:val="en-US"/>
      <w14:ligatures w14:val="none"/>
    </w:rPr>
  </w:style>
  <w:style w:type="character" w:customStyle="1" w:styleId="bulletChar">
    <w:name w:val="bullet Char"/>
    <w:basedOn w:val="ListParagraphChar"/>
    <w:link w:val="bullet"/>
    <w:rsid w:val="00996A8E"/>
    <w:rPr>
      <w:rFonts w:ascii="Aptos" w:eastAsia="Calibri" w:hAnsi="Aptos" w:cs="Calibri"/>
      <w:color w:val="5F5F5F"/>
      <w:kern w:val="0"/>
      <w:sz w:val="20"/>
      <w:szCs w:val="20"/>
      <w:lang w:val="en-US"/>
      <w14:ligatures w14:val="none"/>
    </w:rPr>
  </w:style>
  <w:style w:type="character" w:customStyle="1" w:styleId="Heading4Char">
    <w:name w:val="Heading 4 Char"/>
    <w:basedOn w:val="DefaultParagraphFont"/>
    <w:link w:val="Heading4"/>
    <w:uiPriority w:val="9"/>
    <w:rsid w:val="00551840"/>
    <w:rPr>
      <w:rFonts w:asciiTheme="majorHAnsi" w:eastAsiaTheme="majorEastAsia" w:hAnsiTheme="majorHAnsi" w:cstheme="majorBidi"/>
      <w:i/>
      <w:iCs/>
      <w:color w:val="2F5496" w:themeColor="accent1" w:themeShade="BF"/>
      <w:sz w:val="20"/>
      <w:u w:val="single"/>
    </w:rPr>
  </w:style>
  <w:style w:type="paragraph" w:styleId="BodyText">
    <w:name w:val="Body Text"/>
    <w:basedOn w:val="Normal"/>
    <w:link w:val="BodyTextChar"/>
    <w:autoRedefine/>
    <w:uiPriority w:val="1"/>
    <w:qFormat/>
    <w:rsid w:val="006F4F5B"/>
    <w:pPr>
      <w:widowControl w:val="0"/>
      <w:autoSpaceDE w:val="0"/>
      <w:autoSpaceDN w:val="0"/>
      <w:spacing w:before="240" w:after="120"/>
      <w:ind w:right="479"/>
    </w:pPr>
    <w:rPr>
      <w:rFonts w:eastAsia="Calibri" w:cs="Calibri"/>
      <w:color w:val="5F5F5F"/>
      <w:kern w:val="0"/>
      <w:szCs w:val="20"/>
      <w:lang w:val="en-US"/>
      <w14:ligatures w14:val="none"/>
    </w:rPr>
  </w:style>
  <w:style w:type="character" w:customStyle="1" w:styleId="BodyTextChar">
    <w:name w:val="Body Text Char"/>
    <w:basedOn w:val="DefaultParagraphFont"/>
    <w:link w:val="BodyText"/>
    <w:uiPriority w:val="1"/>
    <w:rsid w:val="006F4F5B"/>
    <w:rPr>
      <w:rFonts w:ascii="Aptos" w:eastAsia="Calibri" w:hAnsi="Aptos" w:cs="Calibri"/>
      <w:color w:val="5F5F5F"/>
      <w:kern w:val="0"/>
      <w:sz w:val="20"/>
      <w:szCs w:val="20"/>
      <w:lang w:val="en-US"/>
      <w14:ligatures w14:val="none"/>
    </w:rPr>
  </w:style>
  <w:style w:type="paragraph" w:styleId="FootnoteText">
    <w:name w:val="footnote text"/>
    <w:basedOn w:val="Normal"/>
    <w:link w:val="FootnoteTextChar"/>
    <w:uiPriority w:val="99"/>
    <w:semiHidden/>
    <w:unhideWhenUsed/>
    <w:rsid w:val="00062C6B"/>
    <w:pPr>
      <w:widowControl w:val="0"/>
      <w:autoSpaceDE w:val="0"/>
      <w:autoSpaceDN w:val="0"/>
      <w:spacing w:before="0" w:after="0"/>
    </w:pPr>
    <w:rPr>
      <w:rFonts w:ascii="Calibri" w:eastAsia="Calibri" w:hAnsi="Calibri" w:cs="Calibri"/>
      <w:color w:val="auto"/>
      <w:kern w:val="0"/>
      <w:szCs w:val="20"/>
      <w:lang w:val="en-US"/>
      <w14:ligatures w14:val="none"/>
    </w:rPr>
  </w:style>
  <w:style w:type="character" w:customStyle="1" w:styleId="FootnoteTextChar">
    <w:name w:val="Footnote Text Char"/>
    <w:basedOn w:val="DefaultParagraphFont"/>
    <w:link w:val="FootnoteText"/>
    <w:uiPriority w:val="99"/>
    <w:semiHidden/>
    <w:rsid w:val="00062C6B"/>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062C6B"/>
    <w:rPr>
      <w:vertAlign w:val="superscript"/>
    </w:rPr>
  </w:style>
  <w:style w:type="table" w:customStyle="1" w:styleId="GridTable1Light11">
    <w:name w:val="Grid Table 1 Light11"/>
    <w:basedOn w:val="TableNormal"/>
    <w:next w:val="GridTable1Light"/>
    <w:uiPriority w:val="46"/>
    <w:rsid w:val="00062C6B"/>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062C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32977"/>
    <w:rPr>
      <w:color w:val="605E5C"/>
      <w:shd w:val="clear" w:color="auto" w:fill="E1DFDD"/>
    </w:rPr>
  </w:style>
  <w:style w:type="character" w:styleId="Strong">
    <w:name w:val="Strong"/>
    <w:basedOn w:val="DefaultParagraphFont"/>
    <w:uiPriority w:val="22"/>
    <w:qFormat/>
    <w:rsid w:val="0081229B"/>
    <w:rPr>
      <w:b/>
      <w:bCs/>
      <w:color w:val="565751"/>
    </w:rPr>
  </w:style>
  <w:style w:type="paragraph" w:styleId="Revision">
    <w:name w:val="Revision"/>
    <w:hidden/>
    <w:uiPriority w:val="99"/>
    <w:semiHidden/>
    <w:rsid w:val="0052303E"/>
    <w:pPr>
      <w:spacing w:after="0" w:line="240" w:lineRule="auto"/>
    </w:pPr>
    <w:rPr>
      <w:rFonts w:ascii="Aptos" w:hAnsi="Aptos"/>
      <w:color w:val="56575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opta.gov.au/forms/nopta-forms/pipeline-licence/pipe-lic-cease-s228.docx" TargetMode="External"/><Relationship Id="rId7" Type="http://schemas.openxmlformats.org/officeDocument/2006/relationships/settings" Target="settings.xml"/><Relationship Id="rId12" Type="http://schemas.openxmlformats.org/officeDocument/2006/relationships/hyperlink" Target="http://www.nopta.gov.au" TargetMode="External"/><Relationship Id="rId17" Type="http://schemas.openxmlformats.org/officeDocument/2006/relationships/header" Target="header3.xml"/><Relationship Id="rId25" Type="http://schemas.openxmlformats.org/officeDocument/2006/relationships/hyperlink" Target="mailto:titles@nopta.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opta.gov.au/guidelines-and-factsheets/offshore-petroleum-guidelin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Series/C2006A00014" TargetMode="External"/><Relationship Id="rId24" Type="http://schemas.openxmlformats.org/officeDocument/2006/relationships/hyperlink" Target="https://www.nopta.gov.au/guidelines-and-factsheets/offshore-petroleum-guidelines.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titles@nopta.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F2025L01450/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opta.gov.au/guidelines-and-factsheets/fact-sheets.htm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125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https://nopta.sharepoint.com/WST/_layouts/15/DocIdRedir.aspx?ID=NOPTANET-716839524-11005</Url>
      <Description>NOPTANET-716839524-11005</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Jurisdiction xmlns="7012054d-3a07-4b40-940b-a148fc76e5c4">
      <Value>AU</Value>
    </Jurisdiction>
    <CaveatCategory xmlns="7012054d-3a07-4b40-940b-a148fc76e5c4">DLM: For Official Use Only</CaveatCategory>
    <_dlc_DocId xmlns="7012054d-3a07-4b40-940b-a148fc76e5c4">NOPTANET-716839524-11005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65694-74E8-4315-A453-422A1A98B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78494-80F5-4473-B60B-1319A9F4457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80C508F3-8D3C-4D52-B008-7DAF18B76530}">
  <ds:schemaRefs>
    <ds:schemaRef ds:uri="http://schemas.microsoft.com/sharepoint/v3/contenttype/forms"/>
  </ds:schemaRefs>
</ds:datastoreItem>
</file>

<file path=customXml/itemProps4.xml><?xml version="1.0" encoding="utf-8"?>
<ds:datastoreItem xmlns:ds="http://schemas.openxmlformats.org/officeDocument/2006/customXml" ds:itemID="{7AEE16C1-093A-446F-B599-DAE81547F9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9974</Characters>
  <Application>Microsoft Office Word</Application>
  <DocSecurity>0</DocSecurity>
  <Lines>302</Lines>
  <Paragraphs>126</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2026-03-22T23:23:00Z</dcterms:created>
  <dcterms:modified xsi:type="dcterms:W3CDTF">2026-03-22T23:23:00Z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2026-03-19T06:03:21Z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90d51f19-7142-4b0b-b830-25ab68683e01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LastSaved">
    <vt:filetime>2024-04-10T00:00:00Z</vt:filetime>
  </property>
  <property fmtid="{D5CDD505-2E9C-101B-9397-08002B2CF9AE}" pid="12" name="DocHub_DocumentType">
    <vt:lpwstr>81;#Guideline|1cb7cffe-f5b4-42ac-8a71-3f61d9d0fa0a</vt:lpwstr>
  </property>
  <property fmtid="{D5CDD505-2E9C-101B-9397-08002B2CF9AE}" pid="13" name="OfNationalSignificance">
    <vt:lpwstr>No</vt:lpwstr>
  </property>
  <property fmtid="{D5CDD505-2E9C-101B-9397-08002B2CF9AE}" pid="14" name="DocHub_GovernmentEntities">
    <vt:lpwstr/>
  </property>
  <property fmtid="{D5CDD505-2E9C-101B-9397-08002B2CF9AE}" pid="15" name="DocHub_OrganisationEntities">
    <vt:lpwstr/>
  </property>
  <property fmtid="{D5CDD505-2E9C-101B-9397-08002B2CF9AE}" pid="16" name="ComplianceAssetId">
    <vt:lpwstr/>
  </property>
  <property fmtid="{D5CDD505-2E9C-101B-9397-08002B2CF9AE}" pid="17" name="Titles">
    <vt:lpwstr/>
  </property>
  <property fmtid="{D5CDD505-2E9C-101B-9397-08002B2CF9AE}" pid="18" name="Title Type">
    <vt:lpwstr/>
  </property>
  <property fmtid="{D5CDD505-2E9C-101B-9397-08002B2CF9AE}" pid="19" name="NodRecalculate">
    <vt:bool>false</vt:bool>
  </property>
  <property fmtid="{D5CDD505-2E9C-101B-9397-08002B2CF9AE}" pid="20" name="Offshore Region">
    <vt:lpwstr/>
  </property>
  <property fmtid="{D5CDD505-2E9C-101B-9397-08002B2CF9AE}" pid="21" name="docLang">
    <vt:lpwstr>en</vt:lpwstr>
  </property>
  <property fmtid="{D5CDD505-2E9C-101B-9397-08002B2CF9AE}" pid="22" name="Offshore_x0020_Region">
    <vt:lpwstr/>
  </property>
  <property fmtid="{D5CDD505-2E9C-101B-9397-08002B2CF9AE}" pid="23" name="DocHub_Year">
    <vt:lpwstr>3627;#2020|6a3660c5-15bd-4052-a0a1-6237663b7600</vt:lpwstr>
  </property>
  <property fmtid="{D5CDD505-2E9C-101B-9397-08002B2CF9AE}" pid="24" name="DocHub_GroupsOtherEntities">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DocHub_SecurityClassification">
    <vt:lpwstr>46;#For Official Use Only|11f6fb0b-52ce-4109-8f7f-521b2a62f692</vt:lpwstr>
  </property>
  <property fmtid="{D5CDD505-2E9C-101B-9397-08002B2CF9AE}" pid="29" name="Created">
    <vt:filetime>2023-02-14T00:00:00Z</vt:filetime>
  </property>
  <property fmtid="{D5CDD505-2E9C-101B-9397-08002B2CF9AE}" pid="30" name="Team">
    <vt:lpwstr/>
  </property>
  <property fmtid="{D5CDD505-2E9C-101B-9397-08002B2CF9AE}" pid="31" name="Application_x0020_Library">
    <vt:lpwstr/>
  </property>
  <property fmtid="{D5CDD505-2E9C-101B-9397-08002B2CF9AE}" pid="32" name="NodDocumentType">
    <vt:lpwstr>Factsheet</vt:lpwstr>
  </property>
  <property fmtid="{D5CDD505-2E9C-101B-9397-08002B2CF9AE}" pid="33" name="NodCategory">
    <vt:lpwstr>Compliance</vt:lpwstr>
  </property>
  <property fmtid="{D5CDD505-2E9C-101B-9397-08002B2CF9AE}" pid="34" name="NodAuthors">
    <vt:lpwstr>75;#Mark Price</vt:lpwstr>
  </property>
  <property fmtid="{D5CDD505-2E9C-101B-9397-08002B2CF9AE}" pid="35" name="DocHub_WorkActivity">
    <vt:lpwstr/>
  </property>
  <property fmtid="{D5CDD505-2E9C-101B-9397-08002B2CF9AE}" pid="36" name="Business Function">
    <vt:lpwstr>573;#External Guidance|b09c6caf-08fd-461c-b4ef-37c1e36f5aed</vt:lpwstr>
  </property>
  <property fmtid="{D5CDD505-2E9C-101B-9397-08002B2CF9AE}" pid="37" name="_dlc_DocIdItemGuid">
    <vt:lpwstr>ebf6b068-cf8c-405e-884a-d08c034984ee</vt:lpwstr>
  </property>
  <property fmtid="{D5CDD505-2E9C-101B-9397-08002B2CF9AE}" pid="38" name="DocumentType">
    <vt:lpwstr>125;#Fact Sheet|d3f18156-6d06-4b36-b33d-bc546f991cd2</vt:lpwstr>
  </property>
  <property fmtid="{D5CDD505-2E9C-101B-9397-08002B2CF9AE}" pid="39" name="DocHub_EnergyMineralResources">
    <vt:lpwstr/>
  </property>
  <property fmtid="{D5CDD505-2E9C-101B-9397-08002B2CF9AE}" pid="40" name="TriggerFlowInfo">
    <vt:lpwstr/>
  </property>
  <property fmtid="{D5CDD505-2E9C-101B-9397-08002B2CF9AE}" pid="41" name="NodTeamOwner">
    <vt:lpwstr>Titles</vt:lpwstr>
  </property>
  <property fmtid="{D5CDD505-2E9C-101B-9397-08002B2CF9AE}" pid="42" name="DocHub_Keywords">
    <vt:lpwstr/>
  </property>
  <property fmtid="{D5CDD505-2E9C-101B-9397-08002B2CF9AE}" pid="43" name="DocHub_State">
    <vt:lpwstr/>
  </property>
  <property fmtid="{D5CDD505-2E9C-101B-9397-08002B2CF9AE}" pid="44" name="Title_x0020_Type">
    <vt:lpwstr/>
  </property>
  <property fmtid="{D5CDD505-2E9C-101B-9397-08002B2CF9AE}" pid="45" name="DocHub_RegionCountry">
    <vt:lpwstr/>
  </property>
  <property fmtid="{D5CDD505-2E9C-101B-9397-08002B2CF9AE}" pid="46" name="NodRisk">
    <vt:lpwstr>Low</vt:lpwstr>
  </property>
  <property fmtid="{D5CDD505-2E9C-101B-9397-08002B2CF9AE}" pid="47" name="xd_ProgID">
    <vt:lpwstr/>
  </property>
  <property fmtid="{D5CDD505-2E9C-101B-9397-08002B2CF9AE}" pid="48" name="MediaServiceImageTags">
    <vt:lpwstr/>
  </property>
  <property fmtid="{D5CDD505-2E9C-101B-9397-08002B2CF9AE}" pid="49" name="ContentTypeId">
    <vt:lpwstr>0x01010063547D135F865547B104B3688A6EB0DB1400F03BA615DEB94544B0E4AA523FDA1B39</vt:lpwstr>
  </property>
  <property fmtid="{D5CDD505-2E9C-101B-9397-08002B2CF9AE}" pid="50" name="TemplateUrl">
    <vt:lpwstr/>
  </property>
  <property fmtid="{D5CDD505-2E9C-101B-9397-08002B2CF9AE}" pid="51" name="DocHub_WorkTopic">
    <vt:lpwstr>909;#Administrative Guidelines|f07964ad-13ca-4d49-8baf-8456f5b7da2d</vt:lpwstr>
  </property>
  <property fmtid="{D5CDD505-2E9C-101B-9397-08002B2CF9AE}" pid="52" name="_ExtendedDescription">
    <vt:lpwstr/>
  </property>
  <property fmtid="{D5CDD505-2E9C-101B-9397-08002B2CF9AE}" pid="53" name="Creator">
    <vt:lpwstr>Microsoft Word</vt:lpwstr>
  </property>
</Properties>
</file>