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4210" w14:textId="2382A5D4" w:rsidR="00AA710B" w:rsidRDefault="00AA710B" w:rsidP="00022910">
      <w:pPr>
        <w:pStyle w:val="Heading1"/>
      </w:pPr>
      <w:r w:rsidRPr="00AA710B">
        <w:t xml:space="preserve">Cancellation of Offshore Petroleum Titles </w:t>
      </w:r>
      <w:r w:rsidR="002E26CA">
        <w:tab/>
      </w:r>
    </w:p>
    <w:p w14:paraId="5145AA12" w14:textId="4E53F776" w:rsidR="00363B0D" w:rsidRDefault="00363B0D" w:rsidP="00022910">
      <w:pPr>
        <w:pBdr>
          <w:bottom w:val="single" w:sz="4" w:space="6" w:color="565751"/>
        </w:pBdr>
        <w:spacing w:after="120"/>
      </w:pPr>
      <w:r w:rsidRPr="0C616278">
        <w:rPr>
          <w:lang w:eastAsia="en-AU"/>
        </w:rPr>
        <w:t xml:space="preserve">All fact sheets </w:t>
      </w:r>
      <w:r w:rsidRPr="0C616278">
        <w:t xml:space="preserve">should be read in conjunction with the </w:t>
      </w:r>
      <w:hyperlink r:id="rId12">
        <w:r w:rsidRPr="0C616278">
          <w:rPr>
            <w:rStyle w:val="Hyperlink"/>
            <w:i/>
            <w:iCs/>
          </w:rPr>
          <w:t>Offshore Petroleum and Greenhouse Gas Storage Act 2006</w:t>
        </w:r>
      </w:hyperlink>
      <w:r w:rsidRPr="0C616278">
        <w:rPr>
          <w:i/>
          <w:iCs/>
        </w:rPr>
        <w:t xml:space="preserve"> </w:t>
      </w:r>
      <w:r w:rsidRPr="0C616278">
        <w:t>(</w:t>
      </w:r>
      <w:r w:rsidRPr="0C616278">
        <w:rPr>
          <w:b/>
          <w:bCs/>
        </w:rPr>
        <w:t>the OPGGS Act</w:t>
      </w:r>
      <w:r w:rsidRPr="0C616278">
        <w:t xml:space="preserve">), associated regulations, relevant guidelines and policies (available on </w:t>
      </w:r>
      <w:hyperlink r:id="rId13">
        <w:r w:rsidRPr="0C616278">
          <w:rPr>
            <w:rStyle w:val="Hyperlink"/>
          </w:rPr>
          <w:t>NOPTA’s website</w:t>
        </w:r>
      </w:hyperlink>
      <w:r w:rsidRPr="0C616278">
        <w:t>).</w:t>
      </w:r>
    </w:p>
    <w:p w14:paraId="2BE5BA62" w14:textId="77777777" w:rsidR="00D93C15" w:rsidRDefault="00D93C15" w:rsidP="00022910">
      <w:pPr>
        <w:spacing w:after="120"/>
        <w:sectPr w:rsidR="00D93C15" w:rsidSect="00862CC7">
          <w:headerReference w:type="even" r:id="rId14"/>
          <w:headerReference w:type="default" r:id="rId15"/>
          <w:footerReference w:type="even" r:id="rId16"/>
          <w:footerReference w:type="default" r:id="rId17"/>
          <w:headerReference w:type="first" r:id="rId18"/>
          <w:footerReference w:type="first" r:id="rId19"/>
          <w:pgSz w:w="11906" w:h="16838"/>
          <w:pgMar w:top="2552" w:right="851" w:bottom="851" w:left="851" w:header="709" w:footer="454" w:gutter="0"/>
          <w:cols w:space="708"/>
          <w:docGrid w:linePitch="360"/>
        </w:sectPr>
      </w:pPr>
    </w:p>
    <w:p w14:paraId="28DCA96E" w14:textId="77777777" w:rsidR="00AA710B" w:rsidRPr="002E26CA" w:rsidRDefault="00AA710B" w:rsidP="00862CC7">
      <w:r w:rsidRPr="002E26CA">
        <w:t>This factsheet provides general information about the process followed by NOPTA and the Joint Authority (</w:t>
      </w:r>
      <w:r w:rsidRPr="00862CC7">
        <w:rPr>
          <w:rStyle w:val="Strong"/>
          <w:sz w:val="20"/>
          <w:szCs w:val="20"/>
        </w:rPr>
        <w:t>JA</w:t>
      </w:r>
      <w:r w:rsidRPr="002E26CA">
        <w:t xml:space="preserve">) when cancelling offshore petroleum titles. </w:t>
      </w:r>
    </w:p>
    <w:p w14:paraId="345CAA04" w14:textId="77777777" w:rsidR="00AA710B" w:rsidRPr="0017566E" w:rsidRDefault="00AA710B" w:rsidP="007F408D">
      <w:r w:rsidRPr="00862CC7">
        <w:rPr>
          <w:rStyle w:val="Strong"/>
        </w:rPr>
        <w:t>Note:</w:t>
      </w:r>
      <w:r w:rsidRPr="0017566E">
        <w:t xml:space="preserve"> for information about the cancellation of special prospecting authorities or revocation of access authorities, please contact NOPTA.</w:t>
      </w:r>
    </w:p>
    <w:p w14:paraId="61F3391D" w14:textId="77777777" w:rsidR="00AA710B" w:rsidRPr="00F24291" w:rsidRDefault="00AA710B" w:rsidP="00862CC7">
      <w:pPr>
        <w:pStyle w:val="Heading2"/>
        <w:spacing w:after="120"/>
      </w:pPr>
      <w:r w:rsidRPr="00F24291">
        <w:t>Overview</w:t>
      </w:r>
    </w:p>
    <w:p w14:paraId="4AE2E952" w14:textId="4DD89A53" w:rsidR="00AA710B" w:rsidRPr="002E26CA" w:rsidRDefault="00AA710B" w:rsidP="007F408D">
      <w:r w:rsidRPr="002E26CA">
        <w:t xml:space="preserve">Part 2.13 of the </w:t>
      </w:r>
      <w:r w:rsidR="007464AB" w:rsidRPr="002E26CA">
        <w:t xml:space="preserve">OPGGS </w:t>
      </w:r>
      <w:r w:rsidRPr="002E26CA">
        <w:t>Act sets out the grounds and process for cancelling petroleum titles.</w:t>
      </w:r>
    </w:p>
    <w:p w14:paraId="7E1DDC2E" w14:textId="3D82A3BA" w:rsidR="00AA710B" w:rsidRPr="002E26CA" w:rsidRDefault="00AA710B" w:rsidP="007F408D">
      <w:pPr>
        <w:spacing w:after="120"/>
      </w:pPr>
      <w:r w:rsidRPr="002E26CA">
        <w:t xml:space="preserve">Under </w:t>
      </w:r>
      <w:bookmarkStart w:id="0" w:name="_Hlk159430757"/>
      <w:r w:rsidRPr="002E26CA">
        <w:t>s</w:t>
      </w:r>
      <w:r w:rsidR="007464AB" w:rsidRPr="002E26CA">
        <w:t>ubsection</w:t>
      </w:r>
      <w:bookmarkEnd w:id="0"/>
      <w:r w:rsidRPr="002E26CA">
        <w:t xml:space="preserve"> 275(1) </w:t>
      </w:r>
      <w:r w:rsidR="007464AB" w:rsidRPr="002E26CA">
        <w:t>of the OPGGS Act</w:t>
      </w:r>
      <w:r w:rsidRPr="002E26CA">
        <w:t xml:space="preserve"> the following may be cancelled:</w:t>
      </w:r>
    </w:p>
    <w:p w14:paraId="5A94D868" w14:textId="77777777" w:rsidR="00AA710B" w:rsidRPr="00014331" w:rsidRDefault="00AA710B" w:rsidP="00022910">
      <w:pPr>
        <w:pStyle w:val="bullet"/>
      </w:pPr>
      <w:r w:rsidRPr="00014331">
        <w:t xml:space="preserve">some or </w:t>
      </w:r>
      <w:proofErr w:type="gramStart"/>
      <w:r w:rsidRPr="00014331">
        <w:t>all of</w:t>
      </w:r>
      <w:proofErr w:type="gramEnd"/>
      <w:r w:rsidRPr="00014331">
        <w:t xml:space="preserve"> the blocks in relation to an exploration permit and a production </w:t>
      </w:r>
      <w:proofErr w:type="gramStart"/>
      <w:r w:rsidRPr="00014331">
        <w:t>licence;</w:t>
      </w:r>
      <w:proofErr w:type="gramEnd"/>
      <w:r w:rsidRPr="00014331">
        <w:t xml:space="preserve"> </w:t>
      </w:r>
    </w:p>
    <w:p w14:paraId="1B3EE5D3" w14:textId="77777777" w:rsidR="00AA710B" w:rsidRPr="00014331" w:rsidRDefault="00AA710B" w:rsidP="00022910">
      <w:pPr>
        <w:pStyle w:val="bullet"/>
      </w:pPr>
      <w:r w:rsidRPr="00014331">
        <w:t xml:space="preserve">the whole, or a part of, a pipeline </w:t>
      </w:r>
      <w:proofErr w:type="gramStart"/>
      <w:r w:rsidRPr="00014331">
        <w:t>licence;</w:t>
      </w:r>
      <w:proofErr w:type="gramEnd"/>
    </w:p>
    <w:p w14:paraId="57039389" w14:textId="77777777" w:rsidR="00AA710B" w:rsidRPr="00014331" w:rsidRDefault="00AA710B" w:rsidP="00022910">
      <w:pPr>
        <w:pStyle w:val="bullet"/>
      </w:pPr>
      <w:r w:rsidRPr="00014331">
        <w:t>the whole of a retention lease or infrastructure licence.</w:t>
      </w:r>
    </w:p>
    <w:p w14:paraId="3F3FDE57" w14:textId="77777777" w:rsidR="00AA710B" w:rsidRPr="002E26CA" w:rsidRDefault="00AA710B" w:rsidP="00862CC7">
      <w:pPr>
        <w:spacing w:before="240"/>
      </w:pPr>
      <w:r w:rsidRPr="002E26CA">
        <w:t>It is the titleholder’s responsibility to ensure that all obligations in respect of the title are met.</w:t>
      </w:r>
    </w:p>
    <w:p w14:paraId="104174D8" w14:textId="5FFEB58A" w:rsidR="00AA710B" w:rsidRPr="002E26CA" w:rsidRDefault="00AA710B" w:rsidP="007F408D">
      <w:r w:rsidRPr="0C616278">
        <w:t>Titleholders who are at risk of defaulting on a condition of their title should consider their options to apply to vary, suspend (and extend) or be exempted from a condition of the title (</w:t>
      </w:r>
      <w:r w:rsidR="007464AB" w:rsidRPr="0C616278">
        <w:t xml:space="preserve">sections </w:t>
      </w:r>
      <w:r w:rsidRPr="0C616278">
        <w:t>264</w:t>
      </w:r>
      <w:r w:rsidR="007464AB" w:rsidRPr="0C616278">
        <w:t xml:space="preserve"> </w:t>
      </w:r>
      <w:r w:rsidRPr="0C616278">
        <w:t>and 265</w:t>
      </w:r>
      <w:r w:rsidR="007464AB" w:rsidRPr="0C616278">
        <w:t xml:space="preserve"> of the OPGGS Act</w:t>
      </w:r>
      <w:r w:rsidRPr="0C616278">
        <w:t>).</w:t>
      </w:r>
    </w:p>
    <w:p w14:paraId="3A2C2FA7" w14:textId="5A357A00" w:rsidR="00AA710B" w:rsidRPr="002E26CA" w:rsidRDefault="00AA710B" w:rsidP="00862CC7">
      <w:pPr>
        <w:pStyle w:val="Heading2"/>
        <w:spacing w:after="120"/>
      </w:pPr>
      <w:r w:rsidRPr="002E26CA">
        <w:rPr>
          <w:rFonts w:eastAsia="Times New Roman"/>
        </w:rPr>
        <w:t>Grounds for cancellation (</w:t>
      </w:r>
      <w:r w:rsidR="007464AB" w:rsidRPr="002E26CA">
        <w:rPr>
          <w:rFonts w:eastAsia="Times New Roman"/>
        </w:rPr>
        <w:t>section</w:t>
      </w:r>
      <w:r w:rsidRPr="002E26CA">
        <w:rPr>
          <w:rFonts w:eastAsia="Times New Roman"/>
        </w:rPr>
        <w:t xml:space="preserve"> 274</w:t>
      </w:r>
      <w:r w:rsidR="007464AB" w:rsidRPr="002E26CA">
        <w:t xml:space="preserve"> </w:t>
      </w:r>
      <w:r w:rsidR="007464AB" w:rsidRPr="002E26CA">
        <w:rPr>
          <w:rFonts w:eastAsia="Times New Roman"/>
        </w:rPr>
        <w:t>of the OPGGS Act</w:t>
      </w:r>
      <w:r w:rsidRPr="002E26CA">
        <w:rPr>
          <w:rFonts w:eastAsia="Times New Roman"/>
        </w:rPr>
        <w:t>)</w:t>
      </w:r>
    </w:p>
    <w:p w14:paraId="4C2CE173" w14:textId="77777777" w:rsidR="00AA710B" w:rsidRPr="002E26CA" w:rsidRDefault="00AA710B" w:rsidP="00B10AF8">
      <w:pPr>
        <w:spacing w:after="120"/>
      </w:pPr>
      <w:r w:rsidRPr="002E26CA">
        <w:t>A title may be cancelled if the titleholders have not:</w:t>
      </w:r>
    </w:p>
    <w:p w14:paraId="70D1D310" w14:textId="77777777" w:rsidR="00AA710B" w:rsidRPr="002E26CA" w:rsidRDefault="00AA710B" w:rsidP="00022910">
      <w:pPr>
        <w:pStyle w:val="bullet"/>
      </w:pPr>
      <w:r w:rsidRPr="0C616278">
        <w:t>complied with a condition of the title, including any work program commitments.</w:t>
      </w:r>
    </w:p>
    <w:p w14:paraId="3C9B084B" w14:textId="38B6E2CF" w:rsidR="00AA710B" w:rsidRPr="002E26CA" w:rsidRDefault="00AA710B" w:rsidP="00022910">
      <w:pPr>
        <w:pStyle w:val="bullet"/>
      </w:pPr>
      <w:r w:rsidRPr="0C616278">
        <w:t>complied with a direction given by the responsible Commonwealth Minister, t</w:t>
      </w:r>
      <w:bookmarkStart w:id="1" w:name="_Hlk159444282"/>
      <w:r w:rsidRPr="0C616278">
        <w:t>he National Offshore Petroleum Safety and Environmental Management Authority</w:t>
      </w:r>
      <w:r w:rsidR="006F5AFD" w:rsidRPr="0C616278">
        <w:t xml:space="preserve"> (</w:t>
      </w:r>
      <w:r w:rsidR="006F5AFD" w:rsidRPr="00862CC7">
        <w:rPr>
          <w:rStyle w:val="Strong"/>
          <w:sz w:val="20"/>
          <w:szCs w:val="20"/>
        </w:rPr>
        <w:t>NOPSEMA</w:t>
      </w:r>
      <w:r w:rsidR="006F5AFD" w:rsidRPr="0C616278">
        <w:t>)</w:t>
      </w:r>
      <w:bookmarkEnd w:id="1"/>
      <w:r w:rsidRPr="0C616278">
        <w:t>, or the JA.</w:t>
      </w:r>
    </w:p>
    <w:p w14:paraId="229A0C46" w14:textId="5FE8A15E" w:rsidR="00AA710B" w:rsidRPr="002E26CA" w:rsidRDefault="00AA710B" w:rsidP="00022910">
      <w:pPr>
        <w:pStyle w:val="bullet"/>
      </w:pPr>
      <w:r w:rsidRPr="0C616278">
        <w:t xml:space="preserve">complied with any other provision of chapters 2, 4, 6 and part 7.1 of the </w:t>
      </w:r>
      <w:r w:rsidR="006F5AFD" w:rsidRPr="0C616278">
        <w:t xml:space="preserve">OPGGS </w:t>
      </w:r>
      <w:r w:rsidRPr="0C616278">
        <w:t>Act and regulations (including submitting all reports and data due); or</w:t>
      </w:r>
    </w:p>
    <w:p w14:paraId="0AD5A9E8" w14:textId="77777777" w:rsidR="00AA710B" w:rsidRPr="002E26CA" w:rsidRDefault="00AA710B" w:rsidP="00022910">
      <w:pPr>
        <w:pStyle w:val="bullet"/>
      </w:pPr>
      <w:r w:rsidRPr="0C616278">
        <w:t>paid a fee, royalty or the annual titles administration levy within 90 days after the amount became payable</w:t>
      </w:r>
      <w:bookmarkStart w:id="2" w:name="_Hlk526427160"/>
      <w:r w:rsidRPr="0C616278">
        <w:t>.</w:t>
      </w:r>
    </w:p>
    <w:p w14:paraId="41E3DFE7" w14:textId="77777777" w:rsidR="00AA710B" w:rsidRPr="002E26CA" w:rsidRDefault="00AA710B" w:rsidP="00862CC7">
      <w:pPr>
        <w:pStyle w:val="Heading2"/>
        <w:spacing w:after="120"/>
      </w:pPr>
      <w:r w:rsidRPr="002E26CA">
        <w:rPr>
          <w:rFonts w:eastAsia="Times New Roman"/>
        </w:rPr>
        <w:t>Title obligations – title ‘in force’</w:t>
      </w:r>
    </w:p>
    <w:p w14:paraId="5E118AB7" w14:textId="760AA9BB" w:rsidR="00AA710B" w:rsidRPr="002E26CA" w:rsidRDefault="00AA710B" w:rsidP="00862CC7">
      <w:pPr>
        <w:rPr>
          <w:lang w:eastAsia="en-AU"/>
        </w:rPr>
      </w:pPr>
      <w:r w:rsidRPr="0C616278">
        <w:rPr>
          <w:lang w:eastAsia="en-AU"/>
        </w:rPr>
        <w:t xml:space="preserve">The title will remain in force during the cancellation process, with all title obligations still being applicable (for example payment of levies and submission of reports). If a title is subsequently cancelled levies are not refundable – see </w:t>
      </w:r>
      <w:hyperlink r:id="rId20" w:history="1">
        <w:r w:rsidR="007464AB" w:rsidRPr="0C616278">
          <w:rPr>
            <w:rStyle w:val="Hyperlink"/>
            <w:i/>
            <w:iCs/>
          </w:rPr>
          <w:t>Annual Titles Administration Levy—remittals and refunds policy</w:t>
        </w:r>
      </w:hyperlink>
      <w:r w:rsidRPr="0C616278">
        <w:rPr>
          <w:lang w:eastAsia="en-AU"/>
        </w:rPr>
        <w:t>.</w:t>
      </w:r>
    </w:p>
    <w:p w14:paraId="62037A9A" w14:textId="77777777" w:rsidR="00AA710B" w:rsidRPr="002E26CA" w:rsidRDefault="00AA710B" w:rsidP="00862CC7">
      <w:pPr>
        <w:pStyle w:val="Heading2"/>
        <w:spacing w:after="120"/>
      </w:pPr>
      <w:r w:rsidRPr="002E26CA">
        <w:rPr>
          <w:rFonts w:eastAsia="Times New Roman"/>
        </w:rPr>
        <w:t>Cancellation of title</w:t>
      </w:r>
    </w:p>
    <w:p w14:paraId="3A8343E8" w14:textId="57A1C5F9" w:rsidR="00AA710B" w:rsidRPr="002E26CA" w:rsidRDefault="00AA710B" w:rsidP="00B50695">
      <w:pPr>
        <w:pStyle w:val="Heading3"/>
      </w:pPr>
      <w:r w:rsidRPr="002E26CA">
        <w:t>Consultation (</w:t>
      </w:r>
      <w:r w:rsidR="007464AB" w:rsidRPr="002E26CA">
        <w:t>s</w:t>
      </w:r>
      <w:r w:rsidR="00541895">
        <w:t>ubs</w:t>
      </w:r>
      <w:r w:rsidR="007464AB" w:rsidRPr="002E26CA">
        <w:t xml:space="preserve">ection </w:t>
      </w:r>
      <w:r w:rsidRPr="002E26CA">
        <w:t>s 276</w:t>
      </w:r>
      <w:r w:rsidR="007464AB" w:rsidRPr="002E26CA">
        <w:t xml:space="preserve"> of the OPGGS Act</w:t>
      </w:r>
      <w:r w:rsidRPr="002E26CA">
        <w:t>)</w:t>
      </w:r>
    </w:p>
    <w:p w14:paraId="58D0EC94" w14:textId="77777777" w:rsidR="00AA710B" w:rsidRPr="002E26CA" w:rsidRDefault="00AA710B" w:rsidP="00B10AF8">
      <w:pPr>
        <w:rPr>
          <w:lang w:eastAsia="en-AU"/>
        </w:rPr>
      </w:pPr>
      <w:r w:rsidRPr="0C616278">
        <w:rPr>
          <w:rFonts w:eastAsia="Calibri"/>
          <w:lang w:eastAsia="en-AU"/>
        </w:rPr>
        <w:t>The</w:t>
      </w:r>
      <w:r w:rsidRPr="0C616278">
        <w:rPr>
          <w:lang w:eastAsia="en-AU"/>
        </w:rPr>
        <w:t xml:space="preserve"> titleholders will be given at least 30 days’ written notice of the JA’s intention to cancel. This notification may also be provided to other persons as the JA sees fit. The notice will set out the reasons for the proposed cancellation and invite the recipient to make a written submission to the JA (through NOPTA) regarding the proposed cancellation.</w:t>
      </w:r>
    </w:p>
    <w:p w14:paraId="6210C6AD" w14:textId="3F82F281" w:rsidR="00AA710B" w:rsidRPr="006F5AFD" w:rsidRDefault="00AA710B" w:rsidP="00B50695">
      <w:pPr>
        <w:pStyle w:val="Heading3"/>
      </w:pPr>
      <w:r w:rsidRPr="006F5AFD">
        <w:t>Decision (</w:t>
      </w:r>
      <w:r w:rsidR="007464AB" w:rsidRPr="006F5AFD">
        <w:t>s</w:t>
      </w:r>
      <w:r w:rsidR="00541895">
        <w:t>ubs</w:t>
      </w:r>
      <w:r w:rsidR="007464AB" w:rsidRPr="006F5AFD">
        <w:t>ection</w:t>
      </w:r>
      <w:r w:rsidRPr="006F5AFD">
        <w:t xml:space="preserve"> 275(2)</w:t>
      </w:r>
      <w:r w:rsidR="007464AB" w:rsidRPr="006F5AFD">
        <w:t xml:space="preserve"> of the OPGGS Act</w:t>
      </w:r>
      <w:r w:rsidRPr="006F5AFD">
        <w:t>)</w:t>
      </w:r>
    </w:p>
    <w:p w14:paraId="38A2BDAE" w14:textId="77777777" w:rsidR="00AA710B" w:rsidRPr="002E26CA" w:rsidRDefault="00AA710B" w:rsidP="00014331">
      <w:pPr>
        <w:spacing w:after="120"/>
        <w:rPr>
          <w:rFonts w:eastAsia="Calibri"/>
          <w:kern w:val="0"/>
          <w:lang w:eastAsia="en-AU"/>
        </w:rPr>
      </w:pPr>
      <w:r w:rsidRPr="0C616278">
        <w:rPr>
          <w:rFonts w:eastAsia="Calibri"/>
          <w:kern w:val="0"/>
          <w:lang w:eastAsia="en-AU"/>
        </w:rPr>
        <w:t>Before deciding to cancel a title, the JA must take into account any action taken by the titleholders to:</w:t>
      </w:r>
    </w:p>
    <w:p w14:paraId="56538617" w14:textId="77777777" w:rsidR="00AA710B" w:rsidRPr="002E26CA" w:rsidRDefault="00AA710B" w:rsidP="00022910">
      <w:pPr>
        <w:pStyle w:val="bullet"/>
      </w:pPr>
      <w:r w:rsidRPr="002E26CA">
        <w:t>remove the ground(s) for cancellation (e.g. by completion of a guaranteed work commitment or rectification of non-compliance with the Act, title conditions and regulations</w:t>
      </w:r>
      <w:proofErr w:type="gramStart"/>
      <w:r w:rsidRPr="002E26CA">
        <w:t>);</w:t>
      </w:r>
      <w:proofErr w:type="gramEnd"/>
    </w:p>
    <w:p w14:paraId="5D4BFDF0" w14:textId="77777777" w:rsidR="00AA710B" w:rsidRPr="002E26CA" w:rsidRDefault="00AA710B" w:rsidP="00022910">
      <w:pPr>
        <w:pStyle w:val="bullet"/>
      </w:pPr>
      <w:r w:rsidRPr="002E26CA">
        <w:t>prevent the recurrence of similar grounds.</w:t>
      </w:r>
    </w:p>
    <w:p w14:paraId="4759DB5F" w14:textId="77777777" w:rsidR="00AA710B" w:rsidRPr="002E26CA" w:rsidRDefault="00AA710B" w:rsidP="00862CC7">
      <w:pPr>
        <w:spacing w:before="240" w:after="120"/>
        <w:rPr>
          <w:rFonts w:eastAsia="Calibri"/>
          <w:kern w:val="0"/>
          <w:szCs w:val="20"/>
          <w:lang w:eastAsia="en-AU"/>
        </w:rPr>
      </w:pPr>
      <w:r w:rsidRPr="002E26CA">
        <w:rPr>
          <w:rFonts w:eastAsia="Calibri"/>
          <w:kern w:val="0"/>
          <w:szCs w:val="20"/>
          <w:lang w:eastAsia="en-AU"/>
        </w:rPr>
        <w:t>The JA will also consider:</w:t>
      </w:r>
    </w:p>
    <w:p w14:paraId="5D4196AA" w14:textId="77777777" w:rsidR="00AA710B" w:rsidRPr="002E26CA" w:rsidRDefault="00AA710B" w:rsidP="00022910">
      <w:pPr>
        <w:pStyle w:val="bullet"/>
      </w:pPr>
      <w:r w:rsidRPr="002E26CA">
        <w:t xml:space="preserve">any submissions made by the titleholders or other relevant </w:t>
      </w:r>
      <w:proofErr w:type="gramStart"/>
      <w:r w:rsidRPr="002E26CA">
        <w:t>persons;</w:t>
      </w:r>
      <w:proofErr w:type="gramEnd"/>
    </w:p>
    <w:p w14:paraId="383DD8B7" w14:textId="77777777" w:rsidR="00AA710B" w:rsidRPr="002E26CA" w:rsidRDefault="00AA710B" w:rsidP="00022910">
      <w:pPr>
        <w:pStyle w:val="bullet"/>
      </w:pPr>
      <w:r w:rsidRPr="002E26CA">
        <w:t>any other relevant matters.</w:t>
      </w:r>
    </w:p>
    <w:p w14:paraId="37AFBFF8" w14:textId="76EED89C" w:rsidR="00AA710B" w:rsidRPr="002E26CA" w:rsidRDefault="00AA710B" w:rsidP="00B50695">
      <w:pPr>
        <w:pStyle w:val="Heading3"/>
      </w:pPr>
      <w:r w:rsidRPr="002E26CA">
        <w:lastRenderedPageBreak/>
        <w:t>Notification and effective date of decision (</w:t>
      </w:r>
      <w:r w:rsidR="007464AB" w:rsidRPr="002E26CA">
        <w:t>s</w:t>
      </w:r>
      <w:r w:rsidR="00541895">
        <w:t>ubs</w:t>
      </w:r>
      <w:r w:rsidR="007464AB" w:rsidRPr="002E26CA">
        <w:t>ection</w:t>
      </w:r>
      <w:r w:rsidRPr="002E26CA">
        <w:t> 275(3)</w:t>
      </w:r>
      <w:r w:rsidR="007464AB" w:rsidRPr="002E26CA">
        <w:t xml:space="preserve"> of the OPGGS Act</w:t>
      </w:r>
      <w:r w:rsidRPr="002E26CA">
        <w:t>)</w:t>
      </w:r>
    </w:p>
    <w:p w14:paraId="6C645E9D" w14:textId="77777777" w:rsidR="00AA710B" w:rsidRPr="002E26CA" w:rsidRDefault="00AA710B" w:rsidP="00862CC7">
      <w:pPr>
        <w:keepNext/>
        <w:keepLines/>
      </w:pPr>
      <w:r w:rsidRPr="002E26CA">
        <w:t xml:space="preserve">The titleholders will be notified in writing if the JA cancels the title. Cancellation </w:t>
      </w:r>
      <w:r w:rsidRPr="00634FBC">
        <w:rPr>
          <w:u w:val="single"/>
        </w:rPr>
        <w:t>takes effect on the day</w:t>
      </w:r>
      <w:r w:rsidRPr="002E26CA">
        <w:t xml:space="preserve"> the cancellation notice is published in the Australian Government Gazette. The published gazette notice will be entered in the Titles Register, made available on the </w:t>
      </w:r>
      <w:hyperlink r:id="rId21" w:history="1">
        <w:r w:rsidRPr="00634FBC">
          <w:rPr>
            <w:rStyle w:val="Hyperlink"/>
            <w:kern w:val="0"/>
            <w:szCs w:val="20"/>
          </w:rPr>
          <w:t>NEATS website</w:t>
        </w:r>
      </w:hyperlink>
      <w:r w:rsidRPr="002E26CA">
        <w:t>.</w:t>
      </w:r>
    </w:p>
    <w:p w14:paraId="618E9ED9" w14:textId="12573D1D" w:rsidR="00AA710B" w:rsidRPr="002E26CA" w:rsidRDefault="00AA710B" w:rsidP="00862CC7">
      <w:pPr>
        <w:pStyle w:val="Heading2"/>
        <w:spacing w:after="120"/>
      </w:pPr>
      <w:r w:rsidRPr="002E26CA">
        <w:t>Good Standing</w:t>
      </w:r>
      <w:r w:rsidRPr="002E26CA">
        <w:rPr>
          <w:rFonts w:eastAsia="Times New Roman"/>
        </w:rPr>
        <w:t xml:space="preserve"> Agreements </w:t>
      </w:r>
      <w:r w:rsidR="00166459">
        <w:rPr>
          <w:rFonts w:eastAsia="Times New Roman"/>
        </w:rPr>
        <w:t>(GSA)</w:t>
      </w:r>
      <w:r w:rsidRPr="002E26CA">
        <w:br/>
      </w:r>
      <w:r w:rsidRPr="002E26CA">
        <w:rPr>
          <w:rFonts w:eastAsia="Times New Roman"/>
        </w:rPr>
        <w:t>(work-bid exploration permits only)</w:t>
      </w:r>
    </w:p>
    <w:p w14:paraId="5A6430ED" w14:textId="68CBB4B1" w:rsidR="00944304" w:rsidRPr="002E26CA" w:rsidRDefault="00585973" w:rsidP="00862CC7">
      <w:r w:rsidRPr="00585973">
        <w:rPr>
          <w:lang w:eastAsia="en-AU"/>
        </w:rPr>
        <w:t xml:space="preserve">As of 9 December 2025, the Joint Authority will not offer nor </w:t>
      </w:r>
      <w:proofErr w:type="gramStart"/>
      <w:r w:rsidRPr="00585973">
        <w:rPr>
          <w:lang w:eastAsia="en-AU"/>
        </w:rPr>
        <w:t>enter into</w:t>
      </w:r>
      <w:proofErr w:type="gramEnd"/>
      <w:r w:rsidRPr="00585973">
        <w:rPr>
          <w:lang w:eastAsia="en-AU"/>
        </w:rPr>
        <w:t xml:space="preserve"> any further</w:t>
      </w:r>
      <w:r w:rsidR="00166459">
        <w:rPr>
          <w:lang w:eastAsia="en-AU"/>
        </w:rPr>
        <w:t xml:space="preserve"> GSA</w:t>
      </w:r>
      <w:r w:rsidRPr="00585973">
        <w:rPr>
          <w:lang w:eastAsia="en-AU"/>
        </w:rPr>
        <w:t>.</w:t>
      </w:r>
    </w:p>
    <w:p w14:paraId="501BBA31" w14:textId="450BD16F" w:rsidR="00862CC7" w:rsidRPr="00200CF8" w:rsidRDefault="00862CC7" w:rsidP="00862CC7">
      <w:pPr>
        <w:pStyle w:val="NoSpacing"/>
        <w:spacing w:before="120"/>
        <w:rPr>
          <w:lang w:eastAsia="en-AU"/>
        </w:rPr>
      </w:pPr>
      <w:r w:rsidRPr="71AEE11A">
        <w:rPr>
          <w:lang w:eastAsia="en-AU"/>
        </w:rPr>
        <w:t>Please refer to section 2.15 of the </w:t>
      </w:r>
      <w:r w:rsidRPr="71AEE11A">
        <w:rPr>
          <w:i/>
          <w:lang w:eastAsia="en-AU"/>
        </w:rPr>
        <w:t>Offshore petroleum exploration work–bid permits guideline (effective 9 December 2025)</w:t>
      </w:r>
      <w:r w:rsidRPr="71AEE11A">
        <w:rPr>
          <w:lang w:eastAsia="en-AU"/>
        </w:rPr>
        <w:t> and the </w:t>
      </w:r>
      <w:r w:rsidRPr="71AEE11A">
        <w:rPr>
          <w:i/>
          <w:lang w:eastAsia="en-AU"/>
        </w:rPr>
        <w:t xml:space="preserve">Offshore petroleum exploration work–bid permits guideline </w:t>
      </w:r>
      <w:r w:rsidR="000F2EE6" w:rsidRPr="71AEE11A">
        <w:rPr>
          <w:rFonts w:cs="Aptos"/>
          <w:i/>
          <w:lang w:eastAsia="en-AU"/>
        </w:rPr>
        <w:t>FAQs</w:t>
      </w:r>
      <w:r w:rsidR="000F2EE6" w:rsidRPr="71AEE11A">
        <w:rPr>
          <w:i/>
          <w:lang w:eastAsia="en-AU"/>
        </w:rPr>
        <w:t xml:space="preserve"> </w:t>
      </w:r>
      <w:r w:rsidRPr="71AEE11A">
        <w:rPr>
          <w:i/>
          <w:lang w:eastAsia="en-AU"/>
        </w:rPr>
        <w:t xml:space="preserve">(effective </w:t>
      </w:r>
      <w:r w:rsidRPr="71AEE11A">
        <w:rPr>
          <w:i/>
          <w:iCs/>
          <w:lang w:eastAsia="en-AU"/>
        </w:rPr>
        <w:t>9</w:t>
      </w:r>
      <w:r w:rsidRPr="71AEE11A">
        <w:rPr>
          <w:rFonts w:ascii="Arial" w:hAnsi="Arial" w:cs="Arial"/>
          <w:i/>
          <w:iCs/>
          <w:lang w:eastAsia="en-AU"/>
        </w:rPr>
        <w:t> </w:t>
      </w:r>
      <w:r w:rsidRPr="71AEE11A">
        <w:rPr>
          <w:i/>
          <w:iCs/>
          <w:lang w:eastAsia="en-AU"/>
        </w:rPr>
        <w:t>December</w:t>
      </w:r>
      <w:r w:rsidRPr="71AEE11A">
        <w:rPr>
          <w:rFonts w:ascii="Arial" w:hAnsi="Arial" w:cs="Arial"/>
          <w:i/>
          <w:iCs/>
          <w:lang w:eastAsia="en-AU"/>
        </w:rPr>
        <w:t> </w:t>
      </w:r>
      <w:r w:rsidRPr="71AEE11A">
        <w:rPr>
          <w:i/>
          <w:iCs/>
          <w:lang w:eastAsia="en-AU"/>
        </w:rPr>
        <w:t>2025</w:t>
      </w:r>
      <w:r w:rsidRPr="71AEE11A">
        <w:rPr>
          <w:i/>
          <w:lang w:eastAsia="en-AU"/>
        </w:rPr>
        <w:t>)</w:t>
      </w:r>
      <w:r w:rsidRPr="71AEE11A">
        <w:rPr>
          <w:rFonts w:cs="Aptos"/>
          <w:i/>
          <w:lang w:eastAsia="en-AU"/>
        </w:rPr>
        <w:t> </w:t>
      </w:r>
      <w:r w:rsidRPr="71AEE11A">
        <w:rPr>
          <w:lang w:eastAsia="en-AU"/>
        </w:rPr>
        <w:t>available on the </w:t>
      </w:r>
      <w:hyperlink r:id="rId22">
        <w:r w:rsidRPr="71AEE11A">
          <w:rPr>
            <w:rStyle w:val="Hyperlink"/>
            <w:lang w:eastAsia="en-AU"/>
          </w:rPr>
          <w:t>guidelines page</w:t>
        </w:r>
      </w:hyperlink>
      <w:r w:rsidRPr="71AEE11A">
        <w:rPr>
          <w:lang w:eastAsia="en-AU"/>
        </w:rPr>
        <w:t> on our website for more information on past performance. </w:t>
      </w:r>
    </w:p>
    <w:p w14:paraId="364E11DB" w14:textId="77777777" w:rsidR="00AA710B" w:rsidRPr="002E26CA" w:rsidRDefault="00AA710B" w:rsidP="00862CC7">
      <w:pPr>
        <w:pStyle w:val="Heading2"/>
        <w:spacing w:after="120"/>
        <w:rPr>
          <w:color w:val="595959" w:themeColor="text1" w:themeTint="A6"/>
        </w:rPr>
      </w:pPr>
      <w:r w:rsidRPr="002E26CA">
        <w:t>More information?</w:t>
      </w:r>
    </w:p>
    <w:p w14:paraId="6C0FD745" w14:textId="77777777" w:rsidR="00AA710B" w:rsidRPr="002E26CA" w:rsidRDefault="00AA710B" w:rsidP="00B10AF8">
      <w:pPr>
        <w:rPr>
          <w:color w:val="595959" w:themeColor="text1" w:themeTint="A6"/>
          <w:lang w:eastAsia="en-AU"/>
        </w:rPr>
      </w:pPr>
      <w:r w:rsidRPr="0C616278">
        <w:t>If you have any questions regarding the cancellation of petroleum titles, please contact</w:t>
      </w:r>
      <w:r w:rsidRPr="0C616278">
        <w:rPr>
          <w:color w:val="595959" w:themeColor="text1" w:themeTint="A6"/>
          <w:lang w:eastAsia="en-AU"/>
        </w:rPr>
        <w:t xml:space="preserve"> </w:t>
      </w:r>
      <w:hyperlink r:id="rId23" w:history="1">
        <w:r w:rsidRPr="0C616278">
          <w:rPr>
            <w:rStyle w:val="Hyperlink"/>
            <w:kern w:val="0"/>
            <w:lang w:eastAsia="en-AU"/>
          </w:rPr>
          <w:t>titles@nopta.gov.au</w:t>
        </w:r>
      </w:hyperlink>
      <w:r w:rsidRPr="0C616278">
        <w:rPr>
          <w:color w:val="595959" w:themeColor="text1" w:themeTint="A6"/>
          <w:lang w:eastAsia="en-AU"/>
        </w:rPr>
        <w:t xml:space="preserve">. </w:t>
      </w:r>
    </w:p>
    <w:p w14:paraId="36C274AB" w14:textId="77777777" w:rsidR="00AA710B" w:rsidRPr="00862CC7" w:rsidRDefault="00AA710B" w:rsidP="00B10AF8">
      <w:pPr>
        <w:rPr>
          <w:lang w:eastAsia="en-AU"/>
        </w:rPr>
      </w:pPr>
      <w:r w:rsidRPr="00862CC7">
        <w:rPr>
          <w:rStyle w:val="Strong"/>
        </w:rPr>
        <w:t>Please note:</w:t>
      </w:r>
      <w:r w:rsidRPr="00862CC7">
        <w:rPr>
          <w:lang w:eastAsia="en-AU"/>
        </w:rPr>
        <w:t xml:space="preserve"> this document is intended as a guide only and should not be relied on as legal advice or regarded as a substitute for legal advice in individual cases.</w:t>
      </w:r>
      <w:bookmarkEnd w:id="2"/>
    </w:p>
    <w:p w14:paraId="5D028EAC" w14:textId="77777777" w:rsidR="00AA710B" w:rsidRPr="00DA1319" w:rsidRDefault="00AA710B" w:rsidP="00862CC7">
      <w:pPr>
        <w:pStyle w:val="Heading2"/>
        <w:spacing w:after="120"/>
      </w:pPr>
      <w:r w:rsidRPr="00DA1319">
        <w:t>Version history</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right w:w="57" w:type="dxa"/>
        </w:tblCellMar>
        <w:tblLook w:val="04A0" w:firstRow="1" w:lastRow="0" w:firstColumn="1" w:lastColumn="0" w:noHBand="0" w:noVBand="1"/>
        <w:tblCaption w:val="Version History"/>
        <w:tblDescription w:val="Version, date and comments"/>
      </w:tblPr>
      <w:tblGrid>
        <w:gridCol w:w="671"/>
        <w:gridCol w:w="993"/>
        <w:gridCol w:w="3088"/>
      </w:tblGrid>
      <w:tr w:rsidR="00AA710B" w:rsidRPr="00AA710B" w14:paraId="1E999F43" w14:textId="77777777" w:rsidTr="009C4542">
        <w:trPr>
          <w:trHeight w:val="170"/>
        </w:trPr>
        <w:tc>
          <w:tcPr>
            <w:tcW w:w="671" w:type="dxa"/>
          </w:tcPr>
          <w:p w14:paraId="4628526C" w14:textId="77777777" w:rsidR="00AA710B" w:rsidRPr="00AA710B" w:rsidRDefault="00AA710B" w:rsidP="00AA710B">
            <w:pPr>
              <w:spacing w:before="60" w:after="60"/>
              <w:jc w:val="center"/>
              <w:rPr>
                <w:b/>
                <w:bCs/>
                <w:color w:val="595959" w:themeColor="text1" w:themeTint="A6"/>
                <w:sz w:val="16"/>
              </w:rPr>
            </w:pPr>
            <w:r w:rsidRPr="00AA710B">
              <w:rPr>
                <w:b/>
                <w:bCs/>
                <w:color w:val="595959" w:themeColor="text1" w:themeTint="A6"/>
                <w:sz w:val="16"/>
              </w:rPr>
              <w:t>Version</w:t>
            </w:r>
          </w:p>
        </w:tc>
        <w:tc>
          <w:tcPr>
            <w:tcW w:w="993" w:type="dxa"/>
          </w:tcPr>
          <w:p w14:paraId="13EECF54" w14:textId="77777777" w:rsidR="00AA710B" w:rsidRPr="00AA710B" w:rsidRDefault="00AA710B" w:rsidP="00AA710B">
            <w:pPr>
              <w:spacing w:before="60" w:after="60"/>
              <w:rPr>
                <w:b/>
                <w:bCs/>
                <w:color w:val="595959" w:themeColor="text1" w:themeTint="A6"/>
                <w:sz w:val="16"/>
              </w:rPr>
            </w:pPr>
            <w:r w:rsidRPr="00AA710B">
              <w:rPr>
                <w:b/>
                <w:bCs/>
                <w:color w:val="595959" w:themeColor="text1" w:themeTint="A6"/>
                <w:sz w:val="16"/>
              </w:rPr>
              <w:t>Date</w:t>
            </w:r>
          </w:p>
        </w:tc>
        <w:tc>
          <w:tcPr>
            <w:tcW w:w="3088" w:type="dxa"/>
          </w:tcPr>
          <w:p w14:paraId="4B94980A" w14:textId="77777777" w:rsidR="00AA710B" w:rsidRPr="00AA710B" w:rsidRDefault="00AA710B" w:rsidP="00AA710B">
            <w:pPr>
              <w:spacing w:before="60" w:after="60"/>
              <w:rPr>
                <w:b/>
                <w:bCs/>
                <w:color w:val="595959" w:themeColor="text1" w:themeTint="A6"/>
                <w:sz w:val="16"/>
              </w:rPr>
            </w:pPr>
            <w:r w:rsidRPr="00AA710B">
              <w:rPr>
                <w:b/>
                <w:bCs/>
                <w:color w:val="595959" w:themeColor="text1" w:themeTint="A6"/>
                <w:sz w:val="16"/>
              </w:rPr>
              <w:t>Comment</w:t>
            </w:r>
          </w:p>
        </w:tc>
      </w:tr>
      <w:tr w:rsidR="009C4542" w:rsidRPr="00AA710B" w14:paraId="5A3DEF39" w14:textId="77777777" w:rsidTr="009C4542">
        <w:trPr>
          <w:trHeight w:val="170"/>
        </w:trPr>
        <w:tc>
          <w:tcPr>
            <w:tcW w:w="671" w:type="dxa"/>
          </w:tcPr>
          <w:p w14:paraId="09381A57" w14:textId="76CD88C1" w:rsidR="009C4542" w:rsidRPr="000F2EE6" w:rsidRDefault="009C4542" w:rsidP="009C4542">
            <w:pPr>
              <w:spacing w:before="60" w:after="60"/>
              <w:jc w:val="center"/>
              <w:rPr>
                <w:color w:val="595959" w:themeColor="text1" w:themeTint="A6"/>
                <w:sz w:val="16"/>
              </w:rPr>
            </w:pPr>
            <w:r w:rsidRPr="000F2EE6">
              <w:rPr>
                <w:color w:val="595959" w:themeColor="text1" w:themeTint="A6"/>
                <w:sz w:val="16"/>
              </w:rPr>
              <w:t>4.0</w:t>
            </w:r>
          </w:p>
        </w:tc>
        <w:tc>
          <w:tcPr>
            <w:tcW w:w="993" w:type="dxa"/>
          </w:tcPr>
          <w:p w14:paraId="48573766" w14:textId="460440AF" w:rsidR="009C4542" w:rsidRPr="000F2EE6" w:rsidRDefault="009C4542" w:rsidP="009C4542">
            <w:pPr>
              <w:spacing w:before="60" w:after="60"/>
              <w:rPr>
                <w:color w:val="595959" w:themeColor="text1" w:themeTint="A6"/>
                <w:sz w:val="16"/>
                <w:highlight w:val="yellow"/>
              </w:rPr>
            </w:pPr>
            <w:r w:rsidRPr="000F2EE6">
              <w:rPr>
                <w:color w:val="595959" w:themeColor="text1" w:themeTint="A6"/>
                <w:sz w:val="16"/>
              </w:rPr>
              <w:t>31/03/2026</w:t>
            </w:r>
          </w:p>
        </w:tc>
        <w:tc>
          <w:tcPr>
            <w:tcW w:w="3088" w:type="dxa"/>
          </w:tcPr>
          <w:p w14:paraId="54F51BF2" w14:textId="0F44AE45" w:rsidR="009C4542" w:rsidRPr="00AA710B" w:rsidRDefault="009C4542" w:rsidP="009C4542">
            <w:pPr>
              <w:spacing w:before="60" w:after="60"/>
              <w:rPr>
                <w:b/>
                <w:bCs/>
                <w:color w:val="595959" w:themeColor="text1" w:themeTint="A6"/>
                <w:sz w:val="16"/>
              </w:rPr>
            </w:pPr>
            <w:r w:rsidRPr="0C616278">
              <w:rPr>
                <w:color w:val="595959" w:themeColor="text1" w:themeTint="A6"/>
                <w:sz w:val="16"/>
                <w:szCs w:val="16"/>
              </w:rPr>
              <w:t>Update to layout, format and links</w:t>
            </w:r>
            <w:r w:rsidR="00166459">
              <w:rPr>
                <w:color w:val="595959" w:themeColor="text1" w:themeTint="A6"/>
                <w:sz w:val="16"/>
                <w:szCs w:val="16"/>
              </w:rPr>
              <w:t xml:space="preserve"> and GSA</w:t>
            </w:r>
            <w:r w:rsidR="00760698">
              <w:rPr>
                <w:color w:val="595959" w:themeColor="text1" w:themeTint="A6"/>
                <w:sz w:val="16"/>
                <w:szCs w:val="16"/>
              </w:rPr>
              <w:t xml:space="preserve"> provisions</w:t>
            </w:r>
          </w:p>
        </w:tc>
      </w:tr>
      <w:tr w:rsidR="009C4542" w:rsidRPr="001471DE" w14:paraId="6C768D60" w14:textId="77777777" w:rsidTr="009C4542">
        <w:trPr>
          <w:trHeight w:val="170"/>
        </w:trPr>
        <w:tc>
          <w:tcPr>
            <w:tcW w:w="671" w:type="dxa"/>
          </w:tcPr>
          <w:p w14:paraId="067F88D6" w14:textId="77777777" w:rsidR="009C4542" w:rsidRDefault="009C4542" w:rsidP="009C4542">
            <w:pPr>
              <w:spacing w:before="60" w:after="60"/>
              <w:jc w:val="center"/>
              <w:rPr>
                <w:color w:val="595959" w:themeColor="text1" w:themeTint="A6"/>
                <w:sz w:val="16"/>
              </w:rPr>
            </w:pPr>
            <w:r>
              <w:rPr>
                <w:color w:val="595959" w:themeColor="text1" w:themeTint="A6"/>
                <w:sz w:val="16"/>
              </w:rPr>
              <w:t>3.0</w:t>
            </w:r>
          </w:p>
        </w:tc>
        <w:tc>
          <w:tcPr>
            <w:tcW w:w="993" w:type="dxa"/>
          </w:tcPr>
          <w:p w14:paraId="65B135C2" w14:textId="77777777" w:rsidR="009C4542" w:rsidRDefault="009C4542" w:rsidP="009C4542">
            <w:pPr>
              <w:spacing w:before="60" w:after="60"/>
              <w:rPr>
                <w:color w:val="595959" w:themeColor="text1" w:themeTint="A6"/>
                <w:sz w:val="16"/>
              </w:rPr>
            </w:pPr>
            <w:r>
              <w:rPr>
                <w:color w:val="595959" w:themeColor="text1" w:themeTint="A6"/>
                <w:sz w:val="16"/>
              </w:rPr>
              <w:t>17/02/2023</w:t>
            </w:r>
          </w:p>
        </w:tc>
        <w:tc>
          <w:tcPr>
            <w:tcW w:w="3088" w:type="dxa"/>
          </w:tcPr>
          <w:p w14:paraId="5A684045" w14:textId="77777777" w:rsidR="009C4542" w:rsidRPr="001471DE" w:rsidRDefault="009C4542" w:rsidP="009C4542">
            <w:pPr>
              <w:spacing w:before="60" w:after="60"/>
              <w:rPr>
                <w:color w:val="595959" w:themeColor="text1" w:themeTint="A6"/>
                <w:sz w:val="16"/>
              </w:rPr>
            </w:pPr>
            <w:r>
              <w:rPr>
                <w:color w:val="595959" w:themeColor="text1" w:themeTint="A6"/>
                <w:sz w:val="16"/>
              </w:rPr>
              <w:t>Update hyperlinks</w:t>
            </w:r>
          </w:p>
        </w:tc>
      </w:tr>
    </w:tbl>
    <w:p w14:paraId="12D2C9C8" w14:textId="77777777" w:rsidR="00AA710B" w:rsidRDefault="00AA710B" w:rsidP="00AA710B">
      <w:pPr>
        <w:rPr>
          <w:rFonts w:cstheme="minorHAnsi"/>
          <w:i/>
          <w:color w:val="595959" w:themeColor="text1" w:themeTint="A6"/>
          <w:szCs w:val="20"/>
          <w:lang w:eastAsia="en-AU"/>
        </w:rPr>
      </w:pPr>
    </w:p>
    <w:p w14:paraId="30866AE4" w14:textId="77777777" w:rsidR="00AA710B" w:rsidRDefault="00AA710B" w:rsidP="00AA710B">
      <w:pPr>
        <w:rPr>
          <w:rFonts w:cstheme="minorHAnsi"/>
          <w:i/>
          <w:color w:val="595959" w:themeColor="text1" w:themeTint="A6"/>
          <w:szCs w:val="20"/>
          <w:lang w:eastAsia="en-AU"/>
        </w:rPr>
      </w:pPr>
    </w:p>
    <w:p w14:paraId="5FBB3585" w14:textId="77777777" w:rsidR="00634FBC" w:rsidRDefault="00634FBC" w:rsidP="00AA710B">
      <w:pPr>
        <w:rPr>
          <w:rFonts w:cstheme="minorHAnsi"/>
          <w:i/>
          <w:color w:val="595959" w:themeColor="text1" w:themeTint="A6"/>
          <w:szCs w:val="20"/>
          <w:lang w:eastAsia="en-AU"/>
        </w:rPr>
      </w:pPr>
    </w:p>
    <w:p w14:paraId="5F92846E" w14:textId="77777777" w:rsidR="00634FBC" w:rsidRDefault="00634FBC" w:rsidP="00AA710B">
      <w:pPr>
        <w:rPr>
          <w:rFonts w:cstheme="minorHAnsi"/>
          <w:i/>
          <w:color w:val="595959" w:themeColor="text1" w:themeTint="A6"/>
          <w:szCs w:val="20"/>
          <w:lang w:eastAsia="en-AU"/>
        </w:rPr>
        <w:sectPr w:rsidR="00634FBC" w:rsidSect="00862CC7">
          <w:headerReference w:type="even" r:id="rId24"/>
          <w:headerReference w:type="default" r:id="rId25"/>
          <w:footerReference w:type="even" r:id="rId26"/>
          <w:headerReference w:type="first" r:id="rId27"/>
          <w:footerReference w:type="first" r:id="rId28"/>
          <w:type w:val="continuous"/>
          <w:pgSz w:w="11906" w:h="16838"/>
          <w:pgMar w:top="2552" w:right="851" w:bottom="851" w:left="851" w:header="709" w:footer="454" w:gutter="0"/>
          <w:cols w:num="2" w:space="397"/>
          <w:docGrid w:linePitch="360"/>
        </w:sectPr>
      </w:pPr>
    </w:p>
    <w:p w14:paraId="6600CCA3" w14:textId="77777777" w:rsidR="00AA710B" w:rsidRPr="00A14EF4" w:rsidRDefault="00AA710B" w:rsidP="00AA710B">
      <w:pPr>
        <w:rPr>
          <w:rFonts w:cstheme="minorHAnsi"/>
          <w:i/>
          <w:color w:val="595959" w:themeColor="text1" w:themeTint="A6"/>
          <w:szCs w:val="20"/>
          <w:lang w:eastAsia="en-AU"/>
        </w:rPr>
      </w:pPr>
    </w:p>
    <w:p w14:paraId="72C96DF3" w14:textId="77777777" w:rsidR="00363B0D" w:rsidRPr="00363B0D" w:rsidRDefault="00363B0D" w:rsidP="00AA710B"/>
    <w:sectPr w:rsidR="00363B0D" w:rsidRPr="00363B0D" w:rsidSect="00862CC7">
      <w:type w:val="continuous"/>
      <w:pgSz w:w="11906" w:h="16838"/>
      <w:pgMar w:top="2552" w:right="851" w:bottom="851" w:left="851" w:header="709" w:footer="261"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33EBC" w14:textId="77777777" w:rsidR="006F7F2C" w:rsidRDefault="006F7F2C" w:rsidP="00C83270">
      <w:pPr>
        <w:spacing w:before="0" w:after="0"/>
      </w:pPr>
      <w:r>
        <w:separator/>
      </w:r>
    </w:p>
  </w:endnote>
  <w:endnote w:type="continuationSeparator" w:id="0">
    <w:p w14:paraId="360513B4" w14:textId="77777777" w:rsidR="006F7F2C" w:rsidRDefault="006F7F2C" w:rsidP="00C832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0B7D" w14:textId="77777777" w:rsidR="00363B0D" w:rsidRDefault="00363B0D">
    <w:pPr>
      <w:pStyle w:val="Footer"/>
    </w:pPr>
    <w:r>
      <w:rPr>
        <w:noProof/>
      </w:rPr>
      <mc:AlternateContent>
        <mc:Choice Requires="wps">
          <w:drawing>
            <wp:anchor distT="0" distB="0" distL="0" distR="0" simplePos="0" relativeHeight="251658246" behindDoc="0" locked="0" layoutInCell="1" allowOverlap="1" wp14:anchorId="4603CD2A" wp14:editId="1AE2A644">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03CD2A" id="_x0000_t202" coordsize="21600,21600" o:spt="202" path="m,l,21600r21600,l21600,xe">
              <v:stroke joinstyle="miter"/>
              <v:path gradientshapeok="t" o:connecttype="rect"/>
            </v:shapetype>
            <v:shape id="Text Box 11" o:spid="_x0000_s1028" type="#_x0000_t202" alt="OFFI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3D79" w14:textId="32669D91" w:rsidR="00363B0D" w:rsidRDefault="00363B0D" w:rsidP="00862CC7">
    <w:pPr>
      <w:pStyle w:val="Footer"/>
      <w:tabs>
        <w:tab w:val="clear" w:pos="4513"/>
        <w:tab w:val="clear" w:pos="9026"/>
        <w:tab w:val="left" w:pos="0"/>
        <w:tab w:val="center" w:pos="4860"/>
        <w:tab w:val="right" w:pos="10204"/>
      </w:tabs>
      <w:spacing w:before="0" w:after="0"/>
    </w:pPr>
    <w:r w:rsidRPr="00FF29A1">
      <w:rPr>
        <w:noProof/>
        <w:lang w:eastAsia="en-AU"/>
      </w:rPr>
      <mc:AlternateContent>
        <mc:Choice Requires="wps">
          <w:drawing>
            <wp:anchor distT="0" distB="0" distL="114300" distR="114300" simplePos="0" relativeHeight="251658240" behindDoc="0" locked="0" layoutInCell="1" allowOverlap="1" wp14:anchorId="041148A9" wp14:editId="20E52015">
              <wp:simplePos x="0" y="0"/>
              <wp:positionH relativeFrom="margin">
                <wp:align>left</wp:align>
              </wp:positionH>
              <wp:positionV relativeFrom="paragraph">
                <wp:posOffset>-76200</wp:posOffset>
              </wp:positionV>
              <wp:extent cx="6515100" cy="9525"/>
              <wp:effectExtent l="0" t="0" r="19050" b="28575"/>
              <wp:wrapNone/>
              <wp:docPr id="1"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9525"/>
                      </a:xfrm>
                      <a:prstGeom prst="line">
                        <a:avLst/>
                      </a:prstGeom>
                      <a:ln>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C1B1E6" id="Line 4" o:spid="_x0000_s1026" alt="&quot;&quot;"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6pt" to="51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87r4QEAAAYEAAAOAAAAZHJzL2Uyb0RvYy54bWysU02P0zAQvSPxH6zcadKiriBquocucFlg&#10;xe5ynzrjxsLxWLa3Sf89Y6fNIkBaCXGx/DHvzZs348312BtxRB802aZYLqpCoJXUantoiseHj2/e&#10;FSJEsC0YstgUJwzF9fb1q83galxRR6ZFL5jEhnpwTdHF6OqyDLLDHsKCHFp+VOR7iHz0h7L1MDB7&#10;b8pVVV2VA/nWeZIYAt/eTI/FNvMrhTJ+VSpgFKYpWFvMq8/rPq3ldgP1wYPrtDzLgH9Q0YO2nHSm&#10;uoEI4snrP6h6LT0FUnEhqS9JKS0x18DVLKvfqrnvwGGuhc0JbrYp/D9a+eW4s3c+SZejvXe3JH8E&#10;YWnXgT1gFvBwcty4ZbKqHFyoZ0g6BHfnxX74TC3HwFOk7MKofC+U0e57AiZyrlSM2fbTbDuOUUi+&#10;vFov18uKuyP57f16tc6poE4sCet8iJ+QepE2TWG0TaZADcfbEJOq55B0bWxaO4T2g21zfyNoM+05&#10;ND3nOpL0NCdcRDwZnKDfUAndsqi3OUWeQ9wZL47AEwRSoo0XfcZydIIpbcwMrF4GnuMTFPOMzuDV&#10;y+AZkTOTjTO415b83wjiOHWPlU7xFwemupMFe2pPd/7SYh62bOv5Y6Rp/vWc4c/fd/sTAAD//wMA&#10;UEsDBBQABgAIAAAAIQD9vWor3gAAAAkBAAAPAAAAZHJzL2Rvd25yZXYueG1sTI9BT8MwDIXvSPyH&#10;yEjctmSVGKg0ndjEDghNGhsHjm4T2o7GqZp06/497gluz37W8/ey1ehacbZ9aDxpWMwVCEulNw1V&#10;Gj6P29kTiBCRDLaerIarDbDKb28yTI2/0Ic9H2IlOIRCihrqGLtUylDW1mGY+84Se9++dxh57Ctp&#10;erxwuGtlotRSOmyIP9TY2U1ty5/D4DS8JTu6vh7l2mz36uuxOBUnHN61vr8bX55BRDvGv2OY8Bkd&#10;cmYq/EAmiFYDF4kaZouExWSrZMmqmFbqAWSeyf8N8l8AAAD//wMAUEsBAi0AFAAGAAgAAAAhALaD&#10;OJL+AAAA4QEAABMAAAAAAAAAAAAAAAAAAAAAAFtDb250ZW50X1R5cGVzXS54bWxQSwECLQAUAAYA&#10;CAAAACEAOP0h/9YAAACUAQAACwAAAAAAAAAAAAAAAAAvAQAAX3JlbHMvLnJlbHNQSwECLQAUAAYA&#10;CAAAACEA+cPO6+EBAAAGBAAADgAAAAAAAAAAAAAAAAAuAgAAZHJzL2Uyb0RvYy54bWxQSwECLQAU&#10;AAYACAAAACEA/b1qK94AAAAJAQAADwAAAAAAAAAAAAAAAAA7BAAAZHJzL2Rvd25yZXYueG1sUEsF&#10;BgAAAAAEAAQA8wAAAEYFAAAAAA==&#10;" strokecolor="#5b9bd5 [3208]" strokeweight="1.5pt">
              <v:stroke joinstyle="miter"/>
              <w10:wrap anchorx="margin"/>
            </v:line>
          </w:pict>
        </mc:Fallback>
      </mc:AlternateContent>
    </w:r>
    <w:hyperlink r:id="rId1" w:history="1">
      <w:r w:rsidRPr="00B729DE">
        <w:rPr>
          <w:rStyle w:val="Hyperlink"/>
        </w:rPr>
        <w:t>www.nopta.gov.au</w:t>
      </w:r>
    </w:hyperlink>
    <w:r>
      <w:t xml:space="preserve"> </w:t>
    </w:r>
    <w:r>
      <w:tab/>
    </w:r>
    <w:r>
      <w:tab/>
      <w:t xml:space="preserve">Version </w:t>
    </w:r>
    <w:r w:rsidR="00FB6954">
      <w:t>4</w:t>
    </w:r>
    <w:r>
      <w:t xml:space="preserve">: </w:t>
    </w:r>
    <w:r w:rsidR="00944304">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CA88" w14:textId="77777777" w:rsidR="00363B0D" w:rsidRDefault="00363B0D">
    <w:pPr>
      <w:pStyle w:val="Footer"/>
    </w:pPr>
    <w:r>
      <w:rPr>
        <w:noProof/>
      </w:rPr>
      <mc:AlternateContent>
        <mc:Choice Requires="wps">
          <w:drawing>
            <wp:anchor distT="0" distB="0" distL="0" distR="0" simplePos="0" relativeHeight="251658245" behindDoc="0" locked="0" layoutInCell="1" allowOverlap="1" wp14:anchorId="4ECB2AF3" wp14:editId="633B9985">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CB2AF3" id="_x0000_t202" coordsize="21600,21600" o:spt="202" path="m,l,21600r21600,l21600,xe">
              <v:stroke joinstyle="miter"/>
              <v:path gradientshapeok="t" o:connecttype="rect"/>
            </v:shapetype>
            <v:shape id="Text Box 10" o:spid="_x0000_s1030" type="#_x0000_t202" alt="OFFI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2302" w14:textId="77777777" w:rsidR="00CC2839" w:rsidRDefault="00760698">
    <w:pPr>
      <w:pStyle w:val="Footer"/>
    </w:pPr>
    <w:r>
      <w:rPr>
        <w:noProof/>
      </w:rPr>
      <mc:AlternateContent>
        <mc:Choice Requires="wps">
          <w:drawing>
            <wp:anchor distT="0" distB="0" distL="0" distR="0" simplePos="0" relativeHeight="251658252" behindDoc="0" locked="0" layoutInCell="1" allowOverlap="1" wp14:anchorId="65797182" wp14:editId="7F046AC1">
              <wp:simplePos x="635" y="635"/>
              <wp:positionH relativeFrom="column">
                <wp:align>center</wp:align>
              </wp:positionH>
              <wp:positionV relativeFrom="paragraph">
                <wp:posOffset>635</wp:posOffset>
              </wp:positionV>
              <wp:extent cx="443865" cy="443865"/>
              <wp:effectExtent l="0" t="0" r="18415" b="10795"/>
              <wp:wrapSquare wrapText="bothSides"/>
              <wp:docPr id="1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15BBED" w14:textId="77777777" w:rsidR="00CC2839" w:rsidRPr="00AE1C7B" w:rsidRDefault="00760698">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797182" id="_x0000_t202" coordsize="21600,21600" o:spt="202" path="m,l,21600r21600,l21600,xe">
              <v:stroke joinstyle="miter"/>
              <v:path gradientshapeok="t" o:connecttype="rect"/>
            </v:shapetype>
            <v:shape id="Text Box 14" o:spid="_x0000_s1033" type="#_x0000_t202" alt="OFFI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0915BBED" w14:textId="77777777" w:rsidR="00CC2839" w:rsidRPr="00AE1C7B" w:rsidRDefault="00760698">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1AAE4" w14:textId="77777777" w:rsidR="00CC2839" w:rsidRDefault="00760698">
    <w:pPr>
      <w:pStyle w:val="Footer"/>
    </w:pPr>
    <w:r>
      <w:rPr>
        <w:noProof/>
      </w:rPr>
      <mc:AlternateContent>
        <mc:Choice Requires="wps">
          <w:drawing>
            <wp:anchor distT="0" distB="0" distL="0" distR="0" simplePos="0" relativeHeight="251658251" behindDoc="0" locked="0" layoutInCell="1" allowOverlap="1" wp14:anchorId="79EC2C4B" wp14:editId="746C2C8F">
              <wp:simplePos x="635" y="635"/>
              <wp:positionH relativeFrom="column">
                <wp:align>center</wp:align>
              </wp:positionH>
              <wp:positionV relativeFrom="paragraph">
                <wp:posOffset>635</wp:posOffset>
              </wp:positionV>
              <wp:extent cx="443865" cy="443865"/>
              <wp:effectExtent l="0" t="0" r="18415" b="10795"/>
              <wp:wrapSquare wrapText="bothSides"/>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2D1F03" w14:textId="77777777" w:rsidR="00CC2839" w:rsidRPr="00AE1C7B" w:rsidRDefault="00760698">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EC2C4B" id="_x0000_t202" coordsize="21600,21600" o:spt="202" path="m,l,21600r21600,l21600,xe">
              <v:stroke joinstyle="miter"/>
              <v:path gradientshapeok="t" o:connecttype="rect"/>
            </v:shapetype>
            <v:shape id="Text Box 13" o:spid="_x0000_s1035" type="#_x0000_t202" alt="OFFI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702D1F03" w14:textId="77777777" w:rsidR="00CC2839" w:rsidRPr="00AE1C7B" w:rsidRDefault="00760698">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D855B" w14:textId="77777777" w:rsidR="006F7F2C" w:rsidRDefault="006F7F2C" w:rsidP="00C83270">
      <w:pPr>
        <w:spacing w:before="0" w:after="0"/>
      </w:pPr>
      <w:r>
        <w:separator/>
      </w:r>
    </w:p>
  </w:footnote>
  <w:footnote w:type="continuationSeparator" w:id="0">
    <w:p w14:paraId="2AAF8B2B" w14:textId="77777777" w:rsidR="006F7F2C" w:rsidRDefault="006F7F2C" w:rsidP="00C832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5DBE" w14:textId="77777777" w:rsidR="00363B0D" w:rsidRDefault="00363B0D">
    <w:pPr>
      <w:pStyle w:val="Header"/>
    </w:pPr>
    <w:r>
      <w:rPr>
        <w:noProof/>
      </w:rPr>
      <mc:AlternateContent>
        <mc:Choice Requires="wps">
          <w:drawing>
            <wp:anchor distT="0" distB="0" distL="0" distR="0" simplePos="0" relativeHeight="251658243" behindDoc="0" locked="0" layoutInCell="1" allowOverlap="1" wp14:anchorId="77AB75F9" wp14:editId="07D9DA34">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AB75F9"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7FAD" w14:textId="77777777" w:rsidR="00363B0D" w:rsidRDefault="00363B0D" w:rsidP="00722F99">
    <w:pPr>
      <w:pStyle w:val="Header"/>
    </w:pPr>
    <w:r>
      <w:rPr>
        <w:noProof/>
      </w:rPr>
      <mc:AlternateContent>
        <mc:Choice Requires="wps">
          <w:drawing>
            <wp:anchor distT="0" distB="0" distL="0" distR="0" simplePos="0" relativeHeight="251658244" behindDoc="0" locked="0" layoutInCell="1" allowOverlap="1" wp14:anchorId="4B94C366" wp14:editId="2518F6F9">
              <wp:simplePos x="628650" y="450850"/>
              <wp:positionH relativeFrom="column">
                <wp:align>center</wp:align>
              </wp:positionH>
              <wp:positionV relativeFrom="paragraph">
                <wp:posOffset>635</wp:posOffset>
              </wp:positionV>
              <wp:extent cx="443865" cy="443865"/>
              <wp:effectExtent l="0" t="0" r="18415" b="1079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63B107" w14:textId="77777777" w:rsidR="00363B0D" w:rsidRPr="00AE1C7B" w:rsidRDefault="00363B0D">
                          <w:pPr>
                            <w:rPr>
                              <w:rFonts w:ascii="Arial" w:eastAsia="Arial" w:hAnsi="Arial" w:cs="Arial"/>
                              <w:color w:val="FF00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94C366" id="_x0000_t202" coordsize="21600,21600" o:spt="202" path="m,l,21600r21600,l21600,xe">
              <v:stroke joinstyle="miter"/>
              <v:path gradientshapeok="t" o:connecttype="rect"/>
            </v:shapetype>
            <v:shape id="Text Box 4" o:spid="_x0000_s1027" type="#_x0000_t202" alt="OFFI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363B107" w14:textId="77777777" w:rsidR="00363B0D" w:rsidRPr="00AE1C7B" w:rsidRDefault="00363B0D">
                    <w:pPr>
                      <w:rPr>
                        <w:rFonts w:ascii="Arial" w:eastAsia="Arial" w:hAnsi="Arial" w:cs="Arial"/>
                        <w:color w:val="FF0000"/>
                      </w:rPr>
                    </w:pPr>
                  </w:p>
                </w:txbxContent>
              </v:textbox>
              <w10:wrap type="square"/>
            </v:shape>
          </w:pict>
        </mc:Fallback>
      </mc:AlternateContent>
    </w:r>
    <w:r>
      <w:rPr>
        <w:noProof/>
      </w:rPr>
      <w:drawing>
        <wp:anchor distT="0" distB="0" distL="114300" distR="114300" simplePos="0" relativeHeight="251658241" behindDoc="0" locked="0" layoutInCell="1" allowOverlap="1" wp14:anchorId="49C77CE8" wp14:editId="050FB0F1">
          <wp:simplePos x="0" y="0"/>
          <wp:positionH relativeFrom="page">
            <wp:posOffset>-17145</wp:posOffset>
          </wp:positionH>
          <wp:positionV relativeFrom="page">
            <wp:posOffset>-26670</wp:posOffset>
          </wp:positionV>
          <wp:extent cx="7563600" cy="1562400"/>
          <wp:effectExtent l="0" t="0" r="0" b="0"/>
          <wp:wrapNone/>
          <wp:docPr id="2041049594" name="Picture 2041049594"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6B7" w14:textId="77777777" w:rsidR="00363B0D" w:rsidRDefault="00363B0D">
    <w:pPr>
      <w:pStyle w:val="Header"/>
    </w:pPr>
    <w:r>
      <w:rPr>
        <w:noProof/>
      </w:rPr>
      <mc:AlternateContent>
        <mc:Choice Requires="wps">
          <w:drawing>
            <wp:anchor distT="0" distB="0" distL="0" distR="0" simplePos="0" relativeHeight="251658242" behindDoc="0" locked="0" layoutInCell="1" allowOverlap="1" wp14:anchorId="4A370031" wp14:editId="3B0F2354">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370031" id="_x0000_t202" coordsize="21600,21600" o:spt="202" path="m,l,21600r21600,l21600,xe">
              <v:stroke joinstyle="miter"/>
              <v:path gradientshapeok="t" o:connecttype="rect"/>
            </v:shapetype>
            <v:shape id="Text Box 2" o:spid="_x0000_s1029" type="#_x0000_t202" alt="OFFI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364D" w14:textId="77777777" w:rsidR="00CC2839" w:rsidRDefault="00760698">
    <w:pPr>
      <w:pStyle w:val="Header"/>
    </w:pPr>
    <w:r>
      <w:rPr>
        <w:noProof/>
      </w:rPr>
      <mc:AlternateContent>
        <mc:Choice Requires="wps">
          <w:drawing>
            <wp:anchor distT="0" distB="0" distL="0" distR="0" simplePos="0" relativeHeight="251658249" behindDoc="0" locked="0" layoutInCell="1" allowOverlap="1" wp14:anchorId="408B06A6" wp14:editId="308ADBEF">
              <wp:simplePos x="635" y="635"/>
              <wp:positionH relativeFrom="column">
                <wp:align>center</wp:align>
              </wp:positionH>
              <wp:positionV relativeFrom="paragraph">
                <wp:posOffset>635</wp:posOffset>
              </wp:positionV>
              <wp:extent cx="443865" cy="443865"/>
              <wp:effectExtent l="0" t="0" r="18415" b="1079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B77855" w14:textId="77777777" w:rsidR="00CC2839" w:rsidRPr="00AE1C7B" w:rsidRDefault="00760698">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8B06A6" id="_x0000_t202" coordsize="21600,21600" o:spt="202" path="m,l,21600r21600,l21600,xe">
              <v:stroke joinstyle="miter"/>
              <v:path gradientshapeok="t" o:connecttype="rect"/>
            </v:shapetype>
            <v:shape id="Text Box 7" o:spid="_x0000_s1031" type="#_x0000_t202" alt="OFFI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7B77855" w14:textId="77777777" w:rsidR="00CC2839" w:rsidRPr="00AE1C7B" w:rsidRDefault="00760698">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3E83" w14:textId="77777777" w:rsidR="00CC2839" w:rsidRDefault="00760698" w:rsidP="00722F99">
    <w:pPr>
      <w:pStyle w:val="Header"/>
    </w:pPr>
    <w:r>
      <w:rPr>
        <w:noProof/>
      </w:rPr>
      <mc:AlternateContent>
        <mc:Choice Requires="wps">
          <w:drawing>
            <wp:anchor distT="0" distB="0" distL="0" distR="0" simplePos="0" relativeHeight="251658250" behindDoc="0" locked="0" layoutInCell="1" allowOverlap="1" wp14:anchorId="5A241A31" wp14:editId="360DB6BF">
              <wp:simplePos x="630555" y="450850"/>
              <wp:positionH relativeFrom="column">
                <wp:align>center</wp:align>
              </wp:positionH>
              <wp:positionV relativeFrom="paragraph">
                <wp:posOffset>635</wp:posOffset>
              </wp:positionV>
              <wp:extent cx="443865" cy="443865"/>
              <wp:effectExtent l="0" t="0" r="18415" b="10795"/>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221D1" w14:textId="77777777" w:rsidR="00CC2839" w:rsidRPr="00AE1C7B" w:rsidRDefault="00CC2839">
                          <w:pPr>
                            <w:rPr>
                              <w:rFonts w:ascii="Arial" w:eastAsia="Arial" w:hAnsi="Arial" w:cs="Arial"/>
                              <w:color w:val="FF0000"/>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241A31" id="_x0000_t202" coordsize="21600,21600" o:spt="202" path="m,l,21600r21600,l21600,xe">
              <v:stroke joinstyle="miter"/>
              <v:path gradientshapeok="t" o:connecttype="rect"/>
            </v:shapetype>
            <v:shape id="Text Box 9" o:spid="_x0000_s1032" type="#_x0000_t202" alt="OFFI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0C8221D1" w14:textId="77777777" w:rsidR="00CC2839" w:rsidRPr="00AE1C7B" w:rsidRDefault="00CC2839">
                    <w:pPr>
                      <w:rPr>
                        <w:rFonts w:ascii="Arial" w:eastAsia="Arial" w:hAnsi="Arial" w:cs="Arial"/>
                        <w:color w:val="FF0000"/>
                      </w:rPr>
                    </w:pPr>
                  </w:p>
                </w:txbxContent>
              </v:textbox>
              <w10:wrap type="square"/>
            </v:shape>
          </w:pict>
        </mc:Fallback>
      </mc:AlternateContent>
    </w:r>
    <w:r>
      <w:rPr>
        <w:noProof/>
      </w:rPr>
      <w:drawing>
        <wp:anchor distT="0" distB="0" distL="114300" distR="114300" simplePos="0" relativeHeight="251658247" behindDoc="0" locked="0" layoutInCell="1" allowOverlap="1" wp14:anchorId="47289B46" wp14:editId="7BD996C1">
          <wp:simplePos x="0" y="0"/>
          <wp:positionH relativeFrom="page">
            <wp:align>center</wp:align>
          </wp:positionH>
          <wp:positionV relativeFrom="page">
            <wp:align>top</wp:align>
          </wp:positionV>
          <wp:extent cx="7563600" cy="1562400"/>
          <wp:effectExtent l="0" t="0" r="0" b="0"/>
          <wp:wrapNone/>
          <wp:docPr id="980438090" name="Picture 9804380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p w14:paraId="6B31CC61" w14:textId="77777777" w:rsidR="00CC2839" w:rsidRDefault="00CC2839" w:rsidP="00722F99">
    <w:pPr>
      <w:pStyle w:val="Header"/>
    </w:pPr>
  </w:p>
  <w:p w14:paraId="707A8631" w14:textId="77777777" w:rsidR="00CC2839" w:rsidRPr="007900EC" w:rsidRDefault="00CC2839" w:rsidP="00722F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3CFF" w14:textId="77777777" w:rsidR="00CC2839" w:rsidRDefault="00760698">
    <w:pPr>
      <w:pStyle w:val="Header"/>
    </w:pPr>
    <w:r>
      <w:rPr>
        <w:noProof/>
      </w:rPr>
      <mc:AlternateContent>
        <mc:Choice Requires="wps">
          <w:drawing>
            <wp:anchor distT="0" distB="0" distL="0" distR="0" simplePos="0" relativeHeight="251658248" behindDoc="0" locked="0" layoutInCell="1" allowOverlap="1" wp14:anchorId="5C7D8531" wp14:editId="566BA029">
              <wp:simplePos x="635" y="635"/>
              <wp:positionH relativeFrom="column">
                <wp:align>center</wp:align>
              </wp:positionH>
              <wp:positionV relativeFrom="paragraph">
                <wp:posOffset>635</wp:posOffset>
              </wp:positionV>
              <wp:extent cx="443865" cy="443865"/>
              <wp:effectExtent l="0" t="0" r="18415" b="1079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852059" w14:textId="77777777" w:rsidR="00CC2839" w:rsidRPr="00AE1C7B" w:rsidRDefault="00760698">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C7D8531" id="_x0000_t202" coordsize="21600,21600" o:spt="202" path="m,l,21600r21600,l21600,xe">
              <v:stroke joinstyle="miter"/>
              <v:path gradientshapeok="t" o:connecttype="rect"/>
            </v:shapetype>
            <v:shape id="Text Box 5" o:spid="_x0000_s1034" type="#_x0000_t202" alt="OFFI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56852059" w14:textId="77777777" w:rsidR="00CC2839" w:rsidRPr="00AE1C7B" w:rsidRDefault="00760698">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F58E7"/>
    <w:multiLevelType w:val="hybridMultilevel"/>
    <w:tmpl w:val="56F8DBA8"/>
    <w:lvl w:ilvl="0" w:tplc="6FB29FDE">
      <w:start w:val="1"/>
      <w:numFmt w:val="bullet"/>
      <w:pStyle w:val="ListParagraph"/>
      <w:lvlText w:val=""/>
      <w:lvlJc w:val="left"/>
      <w:pPr>
        <w:ind w:left="1074" w:hanging="360"/>
      </w:pPr>
      <w:rPr>
        <w:rFonts w:ascii="Symbol" w:hAnsi="Symbol" w:hint="default"/>
      </w:rPr>
    </w:lvl>
    <w:lvl w:ilvl="1" w:tplc="0C090003" w:tentative="1">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 w15:restartNumberingAfterBreak="0">
    <w:nsid w:val="6D0D5E84"/>
    <w:multiLevelType w:val="hybridMultilevel"/>
    <w:tmpl w:val="74FC52EA"/>
    <w:lvl w:ilvl="0" w:tplc="4536BD0C">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641564">
    <w:abstractNumId w:val="0"/>
  </w:num>
  <w:num w:numId="2" w16cid:durableId="839200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70"/>
    <w:rsid w:val="00014331"/>
    <w:rsid w:val="00022910"/>
    <w:rsid w:val="0004072A"/>
    <w:rsid w:val="0008417E"/>
    <w:rsid w:val="000B5610"/>
    <w:rsid w:val="000F1FA3"/>
    <w:rsid w:val="000F2EE6"/>
    <w:rsid w:val="000F4F81"/>
    <w:rsid w:val="000F5352"/>
    <w:rsid w:val="00101E39"/>
    <w:rsid w:val="0012734D"/>
    <w:rsid w:val="00166459"/>
    <w:rsid w:val="0017566E"/>
    <w:rsid w:val="00177C18"/>
    <w:rsid w:val="00210194"/>
    <w:rsid w:val="00237D28"/>
    <w:rsid w:val="00262C4C"/>
    <w:rsid w:val="00291376"/>
    <w:rsid w:val="002933C8"/>
    <w:rsid w:val="00293A47"/>
    <w:rsid w:val="002E155A"/>
    <w:rsid w:val="002E26CA"/>
    <w:rsid w:val="002E2C8F"/>
    <w:rsid w:val="0031344C"/>
    <w:rsid w:val="00342705"/>
    <w:rsid w:val="00363B0D"/>
    <w:rsid w:val="0037786E"/>
    <w:rsid w:val="0047782F"/>
    <w:rsid w:val="004932E6"/>
    <w:rsid w:val="004B4BB5"/>
    <w:rsid w:val="004E197A"/>
    <w:rsid w:val="00541895"/>
    <w:rsid w:val="00551840"/>
    <w:rsid w:val="00585973"/>
    <w:rsid w:val="00586813"/>
    <w:rsid w:val="005A6D6C"/>
    <w:rsid w:val="005E4962"/>
    <w:rsid w:val="00604B00"/>
    <w:rsid w:val="00634FBC"/>
    <w:rsid w:val="0065471B"/>
    <w:rsid w:val="00671F62"/>
    <w:rsid w:val="006F5AFD"/>
    <w:rsid w:val="006F7F2C"/>
    <w:rsid w:val="00722F99"/>
    <w:rsid w:val="00740E46"/>
    <w:rsid w:val="007417D6"/>
    <w:rsid w:val="007464AB"/>
    <w:rsid w:val="00760698"/>
    <w:rsid w:val="00780C7D"/>
    <w:rsid w:val="00794A12"/>
    <w:rsid w:val="007F1641"/>
    <w:rsid w:val="007F1F28"/>
    <w:rsid w:val="007F408D"/>
    <w:rsid w:val="00843ED8"/>
    <w:rsid w:val="00862CC7"/>
    <w:rsid w:val="008B058F"/>
    <w:rsid w:val="008E3E2D"/>
    <w:rsid w:val="008F3BD8"/>
    <w:rsid w:val="00944304"/>
    <w:rsid w:val="00952F11"/>
    <w:rsid w:val="009861E9"/>
    <w:rsid w:val="009C4542"/>
    <w:rsid w:val="00A20756"/>
    <w:rsid w:val="00A36588"/>
    <w:rsid w:val="00A67887"/>
    <w:rsid w:val="00AA710B"/>
    <w:rsid w:val="00B10AF8"/>
    <w:rsid w:val="00B112AF"/>
    <w:rsid w:val="00B400F6"/>
    <w:rsid w:val="00B50695"/>
    <w:rsid w:val="00B925AD"/>
    <w:rsid w:val="00BC28C1"/>
    <w:rsid w:val="00BD345C"/>
    <w:rsid w:val="00C77A1C"/>
    <w:rsid w:val="00C83270"/>
    <w:rsid w:val="00CC2839"/>
    <w:rsid w:val="00CD55FF"/>
    <w:rsid w:val="00D01991"/>
    <w:rsid w:val="00D21046"/>
    <w:rsid w:val="00D22826"/>
    <w:rsid w:val="00D306DC"/>
    <w:rsid w:val="00D514F4"/>
    <w:rsid w:val="00D93C15"/>
    <w:rsid w:val="00DA1319"/>
    <w:rsid w:val="00E053E4"/>
    <w:rsid w:val="00E10859"/>
    <w:rsid w:val="00E431EB"/>
    <w:rsid w:val="00E43E79"/>
    <w:rsid w:val="00E5041A"/>
    <w:rsid w:val="00E879F2"/>
    <w:rsid w:val="00EA7075"/>
    <w:rsid w:val="00EA7EE7"/>
    <w:rsid w:val="00EC3E3A"/>
    <w:rsid w:val="00ED6BA7"/>
    <w:rsid w:val="00F17BA7"/>
    <w:rsid w:val="00F24291"/>
    <w:rsid w:val="00F258AD"/>
    <w:rsid w:val="00F37C30"/>
    <w:rsid w:val="00F54711"/>
    <w:rsid w:val="00F66EBC"/>
    <w:rsid w:val="00FB6954"/>
    <w:rsid w:val="00FF6227"/>
    <w:rsid w:val="0C616278"/>
    <w:rsid w:val="71AEE11A"/>
    <w:rsid w:val="7DBF41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3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45C"/>
    <w:pPr>
      <w:spacing w:before="120" w:after="240" w:line="240" w:lineRule="auto"/>
    </w:pPr>
    <w:rPr>
      <w:rFonts w:ascii="Aptos" w:hAnsi="Aptos"/>
      <w:color w:val="565751"/>
      <w:sz w:val="20"/>
    </w:rPr>
  </w:style>
  <w:style w:type="paragraph" w:styleId="Heading1">
    <w:name w:val="heading 1"/>
    <w:basedOn w:val="Title"/>
    <w:next w:val="Normal"/>
    <w:link w:val="Heading1Char"/>
    <w:autoRedefine/>
    <w:uiPriority w:val="9"/>
    <w:qFormat/>
    <w:rsid w:val="00022910"/>
    <w:pPr>
      <w:spacing w:before="0" w:after="120"/>
      <w:outlineLvl w:val="0"/>
    </w:pPr>
    <w:rPr>
      <w:rFonts w:ascii="Aptos Display" w:hAnsi="Aptos Display"/>
      <w:b w:val="0"/>
      <w:sz w:val="52"/>
    </w:rPr>
  </w:style>
  <w:style w:type="paragraph" w:styleId="Heading2">
    <w:name w:val="heading 2"/>
    <w:basedOn w:val="Heading1"/>
    <w:next w:val="Normal"/>
    <w:link w:val="Heading2Char"/>
    <w:unhideWhenUsed/>
    <w:qFormat/>
    <w:rsid w:val="00F24291"/>
    <w:pPr>
      <w:spacing w:before="240" w:after="240"/>
      <w:outlineLvl w:val="1"/>
    </w:pPr>
    <w:rPr>
      <w:rFonts w:ascii="Aptos" w:hAnsi="Aptos"/>
      <w:b/>
      <w:sz w:val="24"/>
    </w:rPr>
  </w:style>
  <w:style w:type="paragraph" w:styleId="Heading3">
    <w:name w:val="heading 3"/>
    <w:basedOn w:val="Normal"/>
    <w:next w:val="Normal"/>
    <w:link w:val="Heading3Char"/>
    <w:autoRedefine/>
    <w:uiPriority w:val="9"/>
    <w:unhideWhenUsed/>
    <w:qFormat/>
    <w:rsid w:val="00B50695"/>
    <w:pPr>
      <w:keepNext/>
      <w:keepLines/>
      <w:spacing w:after="120"/>
      <w:outlineLvl w:val="2"/>
    </w:pPr>
    <w:rPr>
      <w:rFonts w:eastAsiaTheme="majorEastAsia" w:cstheme="majorBidi"/>
      <w:b/>
      <w:color w:val="27639B"/>
      <w:szCs w:val="28"/>
      <w:u w:val="single"/>
    </w:rPr>
  </w:style>
  <w:style w:type="paragraph" w:styleId="Heading4">
    <w:name w:val="heading 4"/>
    <w:basedOn w:val="Normal"/>
    <w:next w:val="Normal"/>
    <w:link w:val="Heading4Char"/>
    <w:autoRedefine/>
    <w:uiPriority w:val="9"/>
    <w:unhideWhenUsed/>
    <w:qFormat/>
    <w:rsid w:val="00551840"/>
    <w:pPr>
      <w:keepNext/>
      <w:keepLines/>
      <w:spacing w:before="100" w:beforeAutospacing="1" w:after="100" w:afterAutospacing="1"/>
      <w:outlineLvl w:val="3"/>
    </w:pPr>
    <w:rPr>
      <w:rFonts w:asciiTheme="majorHAnsi" w:eastAsiaTheme="majorEastAsia" w:hAnsiTheme="majorHAnsi" w:cstheme="majorBidi"/>
      <w:i/>
      <w:iCs/>
      <w:color w:val="2F5496"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rPr>
      <w:b/>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022910"/>
    <w:rPr>
      <w:rFonts w:ascii="Aptos Display" w:eastAsiaTheme="majorEastAsia" w:hAnsi="Aptos Display" w:cstheme="majorBidi"/>
      <w:color w:val="27639B"/>
      <w:spacing w:val="-10"/>
      <w:kern w:val="28"/>
      <w:sz w:val="52"/>
      <w:szCs w:val="56"/>
    </w:rPr>
  </w:style>
  <w:style w:type="character" w:customStyle="1" w:styleId="Heading2Char">
    <w:name w:val="Heading 2 Char"/>
    <w:basedOn w:val="DefaultParagraphFont"/>
    <w:link w:val="Heading2"/>
    <w:rsid w:val="00F24291"/>
    <w:rPr>
      <w:rFonts w:ascii="Aptos" w:eastAsiaTheme="majorEastAsia" w:hAnsi="Aptos" w:cstheme="majorBidi"/>
      <w:b/>
      <w:color w:val="27639B"/>
      <w:spacing w:val="-10"/>
      <w:kern w:val="28"/>
      <w:sz w:val="24"/>
      <w:szCs w:val="56"/>
    </w:rPr>
  </w:style>
  <w:style w:type="paragraph" w:styleId="Header">
    <w:name w:val="header"/>
    <w:basedOn w:val="Normal"/>
    <w:link w:val="HeaderChar"/>
    <w:unhideWhenUsed/>
    <w:rsid w:val="00C83270"/>
    <w:pPr>
      <w:tabs>
        <w:tab w:val="center" w:pos="4513"/>
        <w:tab w:val="right" w:pos="9026"/>
      </w:tabs>
    </w:pPr>
  </w:style>
  <w:style w:type="character" w:customStyle="1" w:styleId="HeaderChar">
    <w:name w:val="Header Char"/>
    <w:basedOn w:val="DefaultParagraphFont"/>
    <w:link w:val="Header"/>
    <w:rsid w:val="00C83270"/>
  </w:style>
  <w:style w:type="paragraph" w:styleId="Footer">
    <w:name w:val="footer"/>
    <w:basedOn w:val="Normal"/>
    <w:link w:val="FooterChar"/>
    <w:unhideWhenUsed/>
    <w:rsid w:val="00C83270"/>
    <w:pPr>
      <w:tabs>
        <w:tab w:val="center" w:pos="4513"/>
        <w:tab w:val="right" w:pos="9026"/>
      </w:tabs>
    </w:pPr>
  </w:style>
  <w:style w:type="character" w:customStyle="1" w:styleId="FooterChar">
    <w:name w:val="Footer Char"/>
    <w:basedOn w:val="DefaultParagraphFont"/>
    <w:link w:val="Footer"/>
    <w:rsid w:val="00C83270"/>
  </w:style>
  <w:style w:type="character" w:customStyle="1" w:styleId="Heading3Char">
    <w:name w:val="Heading 3 Char"/>
    <w:basedOn w:val="DefaultParagraphFont"/>
    <w:link w:val="Heading3"/>
    <w:uiPriority w:val="9"/>
    <w:rsid w:val="00B50695"/>
    <w:rPr>
      <w:rFonts w:ascii="Aptos" w:eastAsiaTheme="majorEastAsia" w:hAnsi="Aptos" w:cstheme="majorBidi"/>
      <w:b/>
      <w:color w:val="27639B"/>
      <w:sz w:val="20"/>
      <w:szCs w:val="28"/>
      <w:u w:val="single"/>
    </w:rPr>
  </w:style>
  <w:style w:type="paragraph" w:styleId="Title">
    <w:name w:val="Title"/>
    <w:basedOn w:val="Normal"/>
    <w:next w:val="Normal"/>
    <w:link w:val="TitleChar"/>
    <w:uiPriority w:val="10"/>
    <w:qFormat/>
    <w:rsid w:val="00363B0D"/>
    <w:rPr>
      <w:rFonts w:eastAsiaTheme="majorEastAsia" w:cstheme="majorBidi"/>
      <w:b/>
      <w:color w:val="27639B"/>
      <w:spacing w:val="-10"/>
      <w:kern w:val="28"/>
      <w:sz w:val="44"/>
      <w:szCs w:val="56"/>
    </w:rPr>
  </w:style>
  <w:style w:type="character" w:customStyle="1" w:styleId="TitleChar">
    <w:name w:val="Title Char"/>
    <w:basedOn w:val="DefaultParagraphFont"/>
    <w:link w:val="Title"/>
    <w:uiPriority w:val="10"/>
    <w:rsid w:val="00363B0D"/>
    <w:rPr>
      <w:rFonts w:eastAsiaTheme="majorEastAsia" w:cstheme="majorBidi"/>
      <w:b/>
      <w:color w:val="27639B"/>
      <w:spacing w:val="-10"/>
      <w:kern w:val="28"/>
      <w:sz w:val="44"/>
      <w:szCs w:val="56"/>
    </w:rPr>
  </w:style>
  <w:style w:type="character" w:styleId="Hyperlink">
    <w:name w:val="Hyperlink"/>
    <w:basedOn w:val="DefaultParagraphFont"/>
    <w:uiPriority w:val="99"/>
    <w:unhideWhenUsed/>
    <w:rsid w:val="00363B0D"/>
    <w:rPr>
      <w:color w:val="0563C1" w:themeColor="hyperlink"/>
      <w:u w:val="single"/>
    </w:rPr>
  </w:style>
  <w:style w:type="table" w:styleId="TableGrid">
    <w:name w:val="Table Grid"/>
    <w:basedOn w:val="TableNormal"/>
    <w:uiPriority w:val="39"/>
    <w:rsid w:val="00D93C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93C15"/>
    <w:pPr>
      <w:keepNext/>
      <w:keepLines/>
      <w:outlineLvl w:val="0"/>
    </w:pPr>
    <w:rPr>
      <w:rFonts w:eastAsiaTheme="majorEastAsia" w:cstheme="minorHAnsi"/>
      <w:b/>
      <w:color w:val="27639B"/>
      <w:sz w:val="24"/>
      <w:szCs w:val="48"/>
    </w:rPr>
  </w:style>
  <w:style w:type="paragraph" w:styleId="ListParagraph">
    <w:name w:val="List Paragraph"/>
    <w:basedOn w:val="Normal"/>
    <w:link w:val="ListParagraphChar"/>
    <w:uiPriority w:val="34"/>
    <w:qFormat/>
    <w:rsid w:val="00BD345C"/>
    <w:pPr>
      <w:numPr>
        <w:numId w:val="1"/>
      </w:numPr>
      <w:ind w:left="357" w:hanging="357"/>
      <w:contextualSpacing/>
    </w:pPr>
    <w:rPr>
      <w:rFonts w:eastAsia="Calibri"/>
      <w:kern w:val="0"/>
      <w:lang w:eastAsia="en-AU"/>
    </w:rPr>
  </w:style>
  <w:style w:type="paragraph" w:customStyle="1" w:styleId="bullet">
    <w:name w:val="bullet"/>
    <w:basedOn w:val="ListParagraph"/>
    <w:link w:val="bulletChar"/>
    <w:autoRedefine/>
    <w:qFormat/>
    <w:rsid w:val="007F408D"/>
    <w:pPr>
      <w:numPr>
        <w:numId w:val="2"/>
      </w:numPr>
      <w:spacing w:after="120"/>
      <w:ind w:left="714" w:hanging="357"/>
      <w:contextualSpacing w:val="0"/>
    </w:pPr>
  </w:style>
  <w:style w:type="character" w:customStyle="1" w:styleId="ListParagraphChar">
    <w:name w:val="List Paragraph Char"/>
    <w:basedOn w:val="DefaultParagraphFont"/>
    <w:link w:val="ListParagraph"/>
    <w:uiPriority w:val="34"/>
    <w:rsid w:val="00BD345C"/>
    <w:rPr>
      <w:rFonts w:ascii="Aptos" w:eastAsia="Calibri" w:hAnsi="Aptos"/>
      <w:color w:val="565751"/>
      <w:kern w:val="0"/>
      <w:sz w:val="20"/>
      <w:lang w:eastAsia="en-AU"/>
    </w:rPr>
  </w:style>
  <w:style w:type="character" w:customStyle="1" w:styleId="bulletChar">
    <w:name w:val="bullet Char"/>
    <w:basedOn w:val="ListParagraphChar"/>
    <w:link w:val="bullet"/>
    <w:rsid w:val="007F408D"/>
    <w:rPr>
      <w:rFonts w:ascii="Aptos" w:eastAsia="Calibri" w:hAnsi="Aptos"/>
      <w:color w:val="565751"/>
      <w:kern w:val="0"/>
      <w:sz w:val="20"/>
      <w:lang w:eastAsia="en-AU"/>
    </w:rPr>
  </w:style>
  <w:style w:type="character" w:customStyle="1" w:styleId="Heading4Char">
    <w:name w:val="Heading 4 Char"/>
    <w:basedOn w:val="DefaultParagraphFont"/>
    <w:link w:val="Heading4"/>
    <w:uiPriority w:val="9"/>
    <w:rsid w:val="00551840"/>
    <w:rPr>
      <w:rFonts w:asciiTheme="majorHAnsi" w:eastAsiaTheme="majorEastAsia" w:hAnsiTheme="majorHAnsi" w:cstheme="majorBidi"/>
      <w:i/>
      <w:iCs/>
      <w:color w:val="2F5496" w:themeColor="accent1" w:themeShade="BF"/>
      <w:sz w:val="20"/>
      <w:u w:val="single"/>
    </w:rPr>
  </w:style>
  <w:style w:type="character" w:styleId="FollowedHyperlink">
    <w:name w:val="FollowedHyperlink"/>
    <w:basedOn w:val="DefaultParagraphFont"/>
    <w:uiPriority w:val="99"/>
    <w:semiHidden/>
    <w:unhideWhenUsed/>
    <w:rsid w:val="007464AB"/>
    <w:rPr>
      <w:color w:val="954F72" w:themeColor="followedHyperlink"/>
      <w:u w:val="single"/>
    </w:rPr>
  </w:style>
  <w:style w:type="character" w:styleId="UnresolvedMention">
    <w:name w:val="Unresolved Mention"/>
    <w:basedOn w:val="DefaultParagraphFont"/>
    <w:uiPriority w:val="99"/>
    <w:semiHidden/>
    <w:unhideWhenUsed/>
    <w:rsid w:val="009C4542"/>
    <w:rPr>
      <w:color w:val="605E5C"/>
      <w:shd w:val="clear" w:color="auto" w:fill="E1DFDD"/>
    </w:rPr>
  </w:style>
  <w:style w:type="paragraph" w:styleId="Revision">
    <w:name w:val="Revision"/>
    <w:hidden/>
    <w:uiPriority w:val="99"/>
    <w:semiHidden/>
    <w:rsid w:val="009C4542"/>
    <w:pPr>
      <w:spacing w:after="0" w:line="240" w:lineRule="auto"/>
    </w:pPr>
    <w:rPr>
      <w:rFonts w:ascii="Aptos" w:hAnsi="Aptos"/>
      <w:color w:val="565751"/>
      <w:sz w:val="20"/>
    </w:rPr>
  </w:style>
  <w:style w:type="character" w:styleId="Strong">
    <w:name w:val="Strong"/>
    <w:uiPriority w:val="22"/>
    <w:qFormat/>
    <w:rsid w:val="00FF6227"/>
    <w:rPr>
      <w:rFonts w:cstheme="minorHAnsi"/>
      <w:b/>
      <w:iCs/>
      <w:color w:val="595959" w:themeColor="text1" w:themeTint="A6"/>
      <w:kern w:val="0"/>
      <w:sz w:val="18"/>
      <w:szCs w:val="18"/>
      <w:lang w:eastAsia="en-AU"/>
    </w:rPr>
  </w:style>
  <w:style w:type="paragraph" w:styleId="NoSpacing">
    <w:name w:val="No Spacing"/>
    <w:basedOn w:val="Normal"/>
    <w:uiPriority w:val="1"/>
    <w:qFormat/>
    <w:rsid w:val="00862CC7"/>
    <w:pPr>
      <w:spacing w:before="0" w:after="120"/>
      <w:ind w:right="283"/>
    </w:pPr>
    <w:rPr>
      <w:rFonts w:eastAsia="Calibri" w:cstheme="minorHAnsi"/>
      <w:color w:val="5F5F5F"/>
      <w:kern w:val="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 TargetMode="Externa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neats.nopta.gov.au/"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opta.gov.au/_documents/policy/annual-titles-administration-levy-remittals-refunds-polic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titles@nopta.gov.au" TargetMode="External"/><Relationship Id="rId28"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opta.gov.au/guidelines-and-factsheets/offshore-petroleum-guidelines.html" TargetMode="External"/><Relationship Id="rId27" Type="http://schemas.openxmlformats.org/officeDocument/2006/relationships/header" Target="header6.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125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https://nopta.sharepoint.com/WST/_layouts/15/DocIdRedir.aspx?ID=NOPTANET-716839524-11003</Url>
      <Description>NOPTANET-716839524-11003</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Jurisdiction xmlns="7012054d-3a07-4b40-940b-a148fc76e5c4">
      <Value>AU</Value>
    </Jurisdiction>
    <CaveatCategory xmlns="7012054d-3a07-4b40-940b-a148fc76e5c4">DLM: For Official Use Only</CaveatCategory>
    <_dlc_DocId xmlns="7012054d-3a07-4b40-940b-a148fc76e5c4">NOPTANET-716839524-11003</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Props1.xml><?xml version="1.0" encoding="utf-8"?>
<ds:datastoreItem xmlns:ds="http://schemas.openxmlformats.org/officeDocument/2006/customXml" ds:itemID="{25BFB420-33A1-4763-8EA2-7D345130E289}">
  <ds:schemaRefs>
    <ds:schemaRef ds:uri="http://schemas.microsoft.com/sharepoint/v3/contenttype/forms"/>
  </ds:schemaRefs>
</ds:datastoreItem>
</file>

<file path=customXml/itemProps2.xml><?xml version="1.0" encoding="utf-8"?>
<ds:datastoreItem xmlns:ds="http://schemas.openxmlformats.org/officeDocument/2006/customXml" ds:itemID="{3ADA2008-1A77-4250-B546-AFD4E9906DD3}">
  <ds:schemaRefs>
    <ds:schemaRef ds:uri="http://schemas.openxmlformats.org/officeDocument/2006/bibliography"/>
  </ds:schemaRefs>
</ds:datastoreItem>
</file>

<file path=customXml/itemProps3.xml><?xml version="1.0" encoding="utf-8"?>
<ds:datastoreItem xmlns:ds="http://schemas.openxmlformats.org/officeDocument/2006/customXml" ds:itemID="{F4B5CB4D-3796-41C8-8034-626E8F844D71}">
  <ds:schemaRefs>
    <ds:schemaRef ds:uri="http://schemas.microsoft.com/sharepoint/events"/>
  </ds:schemaRefs>
</ds:datastoreItem>
</file>

<file path=customXml/itemProps4.xml><?xml version="1.0" encoding="utf-8"?>
<ds:datastoreItem xmlns:ds="http://schemas.openxmlformats.org/officeDocument/2006/customXml" ds:itemID="{C62903EC-BCDB-4DB5-8CB7-C9150362C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F30FDC-7366-4D1D-9008-A04EE51DC487}">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3734</Characters>
  <Application>Microsoft Office Word</Application>
  <DocSecurity>0</DocSecurity>
  <Lines>112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Links>
    <vt:vector size="42" baseType="variant">
      <vt:variant>
        <vt:i4>4587571</vt:i4>
      </vt:variant>
      <vt:variant>
        <vt:i4>15</vt:i4>
      </vt:variant>
      <vt:variant>
        <vt:i4>0</vt:i4>
      </vt:variant>
      <vt:variant>
        <vt:i4>5</vt:i4>
      </vt:variant>
      <vt:variant>
        <vt:lpwstr>mailto:titles@nopta.gov.au</vt:lpwstr>
      </vt:variant>
      <vt:variant>
        <vt:lpwstr/>
      </vt:variant>
      <vt:variant>
        <vt:i4>5439500</vt:i4>
      </vt:variant>
      <vt:variant>
        <vt:i4>12</vt:i4>
      </vt:variant>
      <vt:variant>
        <vt:i4>0</vt:i4>
      </vt:variant>
      <vt:variant>
        <vt:i4>5</vt:i4>
      </vt:variant>
      <vt:variant>
        <vt:lpwstr>https://www.nopta.gov.au/guidelines-and-factsheets/offshore-petroleum-guidelines.html</vt:lpwstr>
      </vt:variant>
      <vt:variant>
        <vt:lpwstr/>
      </vt:variant>
      <vt:variant>
        <vt:i4>3080243</vt:i4>
      </vt:variant>
      <vt:variant>
        <vt:i4>9</vt:i4>
      </vt:variant>
      <vt:variant>
        <vt:i4>0</vt:i4>
      </vt:variant>
      <vt:variant>
        <vt:i4>5</vt:i4>
      </vt:variant>
      <vt:variant>
        <vt:lpwstr>https://neats.nopta.gov.au/</vt:lpwstr>
      </vt:variant>
      <vt:variant>
        <vt:lpwstr/>
      </vt:variant>
      <vt:variant>
        <vt:i4>7602262</vt:i4>
      </vt:variant>
      <vt:variant>
        <vt:i4>6</vt:i4>
      </vt:variant>
      <vt:variant>
        <vt:i4>0</vt:i4>
      </vt:variant>
      <vt:variant>
        <vt:i4>5</vt:i4>
      </vt:variant>
      <vt:variant>
        <vt:lpwstr>https://www.nopta.gov.au/_documents/policy/annual-titles-administration-levy-remittals-refunds-policy.pdf</vt:lpwstr>
      </vt:variant>
      <vt:variant>
        <vt:lpwstr/>
      </vt:variant>
      <vt:variant>
        <vt:i4>720977</vt:i4>
      </vt:variant>
      <vt:variant>
        <vt:i4>3</vt:i4>
      </vt:variant>
      <vt:variant>
        <vt:i4>0</vt:i4>
      </vt:variant>
      <vt:variant>
        <vt:i4>5</vt:i4>
      </vt:variant>
      <vt:variant>
        <vt:lpwstr>http://www.nopta.gov.au/</vt:lpwstr>
      </vt:variant>
      <vt:variant>
        <vt:lpwstr/>
      </vt:variant>
      <vt:variant>
        <vt:i4>7798881</vt:i4>
      </vt:variant>
      <vt:variant>
        <vt:i4>0</vt:i4>
      </vt:variant>
      <vt:variant>
        <vt:i4>0</vt:i4>
      </vt:variant>
      <vt:variant>
        <vt:i4>5</vt:i4>
      </vt:variant>
      <vt:variant>
        <vt:lpwstr>http://www.comlaw.gov.au/Series/C2006A00014</vt:lpwstr>
      </vt:variant>
      <vt:variant>
        <vt:lpwstr/>
      </vt:variant>
      <vt:variant>
        <vt:i4>720977</vt:i4>
      </vt:variant>
      <vt:variant>
        <vt:i4>0</vt:i4>
      </vt:variant>
      <vt:variant>
        <vt:i4>0</vt:i4>
      </vt:variant>
      <vt:variant>
        <vt:i4>5</vt:i4>
      </vt:variant>
      <vt:variant>
        <vt:lpwstr>http://www.nopta.gov.au/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2026-03-22T22:42:00Z</dcterms:created>
  <dcterms:modified xsi:type="dcterms:W3CDTF">2026-03-22T22:42:00Z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LastSaved">
    <vt:filetime>2024-04-08T00:00:00Z</vt:filetime>
  </property>
  <property fmtid="{D5CDD505-2E9C-101B-9397-08002B2CF9AE}" pid="4" name="OfNationalSignificance">
    <vt:lpwstr>No</vt:lpwstr>
  </property>
  <property fmtid="{D5CDD505-2E9C-101B-9397-08002B2CF9AE}" pid="5" name="ComplianceAssetId">
    <vt:lpwstr/>
  </property>
  <property fmtid="{D5CDD505-2E9C-101B-9397-08002B2CF9AE}" pid="6" name="Titles">
    <vt:lpwstr/>
  </property>
  <property fmtid="{D5CDD505-2E9C-101B-9397-08002B2CF9AE}" pid="7" name="Title Type">
    <vt:lpwstr/>
  </property>
  <property fmtid="{D5CDD505-2E9C-101B-9397-08002B2CF9AE}" pid="8" name="MSIP_Label_93cd4f2a-0040-47df-a467-7cba635d669c_ContentBits">
    <vt:lpwstr>0</vt:lpwstr>
  </property>
  <property fmtid="{D5CDD505-2E9C-101B-9397-08002B2CF9AE}" pid="9" name="_ExtendedDescription">
    <vt:lpwstr/>
  </property>
  <property fmtid="{D5CDD505-2E9C-101B-9397-08002B2CF9AE}" pid="10" name="Offshore Region">
    <vt:lpwstr/>
  </property>
  <property fmtid="{D5CDD505-2E9C-101B-9397-08002B2CF9AE}" pid="11" name="docLang">
    <vt:lpwstr>en</vt:lpwstr>
  </property>
  <property fmtid="{D5CDD505-2E9C-101B-9397-08002B2CF9AE}" pid="12" name="Offshore_x0020_Region">
    <vt:lpwstr/>
  </property>
  <property fmtid="{D5CDD505-2E9C-101B-9397-08002B2CF9AE}" pid="13" name="NodDocumentUtility">
    <vt:lpwstr>;#External;#</vt:lpwstr>
  </property>
  <property fmtid="{D5CDD505-2E9C-101B-9397-08002B2CF9AE}" pid="14" name="xd_Signature">
    <vt:bool>false</vt:bool>
  </property>
  <property fmtid="{D5CDD505-2E9C-101B-9397-08002B2CF9AE}" pid="15" name="Application Library">
    <vt:lpwstr/>
  </property>
  <property fmtid="{D5CDD505-2E9C-101B-9397-08002B2CF9AE}" pid="16" name="MSIP_Label_93cd4f2a-0040-47df-a467-7cba635d669c_ActionId">
    <vt:lpwstr>6d648ca7-ae83-42a8-a286-be92b74773d0</vt:lpwstr>
  </property>
  <property fmtid="{D5CDD505-2E9C-101B-9397-08002B2CF9AE}" pid="17" name="Created">
    <vt:filetime>2023-02-14T00:00:00Z</vt:filetime>
  </property>
  <property fmtid="{D5CDD505-2E9C-101B-9397-08002B2CF9AE}" pid="18" name="MSIP_Label_93cd4f2a-0040-47df-a467-7cba635d669c_Enabled">
    <vt:lpwstr>true</vt:lpwstr>
  </property>
  <property fmtid="{D5CDD505-2E9C-101B-9397-08002B2CF9AE}" pid="19" name="Team">
    <vt:lpwstr/>
  </property>
  <property fmtid="{D5CDD505-2E9C-101B-9397-08002B2CF9AE}" pid="20" name="Application_x0020_Library">
    <vt:lpwstr/>
  </property>
  <property fmtid="{D5CDD505-2E9C-101B-9397-08002B2CF9AE}" pid="21" name="NodCategory">
    <vt:lpwstr>Application</vt:lpwstr>
  </property>
  <property fmtid="{D5CDD505-2E9C-101B-9397-08002B2CF9AE}" pid="22" name="NodDocumentType">
    <vt:lpwstr>Factsheet</vt:lpwstr>
  </property>
  <property fmtid="{D5CDD505-2E9C-101B-9397-08002B2CF9AE}" pid="23" name="_dlc_DocIdItemGuid">
    <vt:lpwstr>9848d496-ccbe-4e0b-9170-44dcde4d3d96</vt:lpwstr>
  </property>
  <property fmtid="{D5CDD505-2E9C-101B-9397-08002B2CF9AE}" pid="24" name="MSIP_Label_93cd4f2a-0040-47df-a467-7cba635d669c_SetDate">
    <vt:lpwstr>2024-02-19T06:50:55Z</vt:lpwstr>
  </property>
  <property fmtid="{D5CDD505-2E9C-101B-9397-08002B2CF9AE}" pid="25" name="DocumentType">
    <vt:lpwstr>125;#Fact Sheet|d3f18156-6d06-4b36-b33d-bc546f991cd2</vt:lpwstr>
  </property>
  <property fmtid="{D5CDD505-2E9C-101B-9397-08002B2CF9AE}" pid="26" name="TriggerFlowInfo">
    <vt:lpwstr/>
  </property>
  <property fmtid="{D5CDD505-2E9C-101B-9397-08002B2CF9AE}" pid="27" name="NodTeamOwner">
    <vt:lpwstr>Titles</vt:lpwstr>
  </property>
  <property fmtid="{D5CDD505-2E9C-101B-9397-08002B2CF9AE}" pid="28" name="Title_x0020_Type">
    <vt:lpwstr/>
  </property>
  <property fmtid="{D5CDD505-2E9C-101B-9397-08002B2CF9AE}" pid="29" name="NodRisk">
    <vt:lpwstr>Low</vt:lpwstr>
  </property>
  <property fmtid="{D5CDD505-2E9C-101B-9397-08002B2CF9AE}" pid="30" name="MSIP_Label_93cd4f2a-0040-47df-a467-7cba635d669c_Method">
    <vt:lpwstr>Standard</vt:lpwstr>
  </property>
  <property fmtid="{D5CDD505-2E9C-101B-9397-08002B2CF9AE}" pid="31" name="MSIP_Label_93cd4f2a-0040-47df-a467-7cba635d669c_SiteId">
    <vt:lpwstr>2940859f-ee86-4ee3-848f-02ac9eba62b2</vt:lpwstr>
  </property>
  <property fmtid="{D5CDD505-2E9C-101B-9397-08002B2CF9AE}" pid="32" name="xd_ProgID">
    <vt:lpwstr/>
  </property>
  <property fmtid="{D5CDD505-2E9C-101B-9397-08002B2CF9AE}" pid="33" name="MediaServiceImageTags">
    <vt:lpwstr/>
  </property>
  <property fmtid="{D5CDD505-2E9C-101B-9397-08002B2CF9AE}" pid="34" name="ContentTypeId">
    <vt:lpwstr>0x01010063547D135F865547B104B3688A6EB0DB1400F03BA615DEB94544B0E4AA523FDA1B39</vt:lpwstr>
  </property>
  <property fmtid="{D5CDD505-2E9C-101B-9397-08002B2CF9AE}" pid="35" name="MSIP_Label_93cd4f2a-0040-47df-a467-7cba635d669c_Name">
    <vt:lpwstr>OFFICIAL - NOPTA</vt:lpwstr>
  </property>
  <property fmtid="{D5CDD505-2E9C-101B-9397-08002B2CF9AE}" pid="36" name="TemplateUrl">
    <vt:lpwstr/>
  </property>
</Properties>
</file>