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446E8" w14:textId="6EE41DB9" w:rsidR="008B42B7" w:rsidRDefault="008B42B7" w:rsidP="00C3530A">
      <w:pPr>
        <w:pStyle w:val="Title"/>
        <w:spacing w:after="0" w:line="240" w:lineRule="auto"/>
        <w:rPr>
          <w:sz w:val="44"/>
          <w:szCs w:val="44"/>
        </w:rPr>
      </w:pPr>
      <w:bookmarkStart w:id="0" w:name="_Toc452644134"/>
      <w:bookmarkStart w:id="1" w:name="_Toc452709197"/>
      <w:bookmarkStart w:id="2" w:name="_Toc468884674"/>
    </w:p>
    <w:p w14:paraId="4055422F" w14:textId="7F9C2E04" w:rsidR="006352F3" w:rsidRDefault="006352F3" w:rsidP="00C3530A">
      <w:pPr>
        <w:spacing w:line="240" w:lineRule="auto"/>
      </w:pPr>
    </w:p>
    <w:p w14:paraId="259E51AE" w14:textId="77777777" w:rsidR="006352F3" w:rsidRPr="006352F3" w:rsidRDefault="006352F3" w:rsidP="00C3530A">
      <w:pPr>
        <w:spacing w:line="240" w:lineRule="auto"/>
      </w:pPr>
    </w:p>
    <w:p w14:paraId="6EED037A" w14:textId="77777777" w:rsidR="00C3530A" w:rsidRDefault="00C3530A" w:rsidP="00C3530A">
      <w:pPr>
        <w:pStyle w:val="Title"/>
        <w:spacing w:after="0" w:line="240" w:lineRule="auto"/>
        <w:rPr>
          <w:rFonts w:ascii="Arial" w:hAnsi="Arial" w:cs="Arial"/>
          <w:color w:val="1F4E79" w:themeColor="accent1" w:themeShade="80"/>
        </w:rPr>
      </w:pPr>
    </w:p>
    <w:p w14:paraId="14B151E7" w14:textId="7F58060C" w:rsidR="00347EA5" w:rsidRDefault="006F6665" w:rsidP="00C3530A">
      <w:pPr>
        <w:pStyle w:val="Title"/>
        <w:spacing w:after="0" w:line="240" w:lineRule="auto"/>
        <w:rPr>
          <w:rFonts w:ascii="Arial" w:hAnsi="Arial" w:cs="Arial"/>
          <w:color w:val="1F4E79" w:themeColor="accent1" w:themeShade="80"/>
        </w:rPr>
      </w:pPr>
      <w:r w:rsidRPr="006352F3">
        <w:rPr>
          <w:rFonts w:ascii="Arial" w:hAnsi="Arial" w:cs="Arial"/>
          <w:color w:val="1F4E79" w:themeColor="accent1" w:themeShade="80"/>
        </w:rPr>
        <w:t>National Offshore Petroleum Titles Administrator</w:t>
      </w:r>
    </w:p>
    <w:p w14:paraId="13104465" w14:textId="38543DF2" w:rsidR="006352F3" w:rsidRPr="006352F3" w:rsidRDefault="00C3530A" w:rsidP="00C3530A">
      <w:pPr>
        <w:spacing w:line="240" w:lineRule="auto"/>
      </w:pPr>
      <w:r>
        <w:rPr>
          <w:noProof/>
        </w:rPr>
        <w:drawing>
          <wp:anchor distT="0" distB="0" distL="114300" distR="114300" simplePos="0" relativeHeight="251658240" behindDoc="0" locked="0" layoutInCell="1" allowOverlap="1" wp14:anchorId="2FD45A73" wp14:editId="756EEBBB">
            <wp:simplePos x="0" y="0"/>
            <wp:positionH relativeFrom="column">
              <wp:posOffset>-913803</wp:posOffset>
            </wp:positionH>
            <wp:positionV relativeFrom="paragraph">
              <wp:posOffset>568808</wp:posOffset>
            </wp:positionV>
            <wp:extent cx="7585710" cy="26079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85710" cy="2607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A1AFB0" w14:textId="37A10BF3" w:rsidR="002907D3" w:rsidRDefault="002907D3" w:rsidP="00C3530A">
      <w:pPr>
        <w:spacing w:before="360" w:after="360" w:line="240" w:lineRule="auto"/>
        <w:rPr>
          <w:sz w:val="44"/>
          <w:szCs w:val="44"/>
        </w:rPr>
      </w:pPr>
      <w:bookmarkStart w:id="3" w:name="_Toc452644135"/>
      <w:bookmarkStart w:id="4" w:name="_Toc452709198"/>
      <w:bookmarkStart w:id="5" w:name="_Toc468884675"/>
      <w:bookmarkEnd w:id="0"/>
      <w:bookmarkEnd w:id="1"/>
      <w:bookmarkEnd w:id="2"/>
    </w:p>
    <w:p w14:paraId="6B46D263" w14:textId="44180BB8" w:rsidR="006352F3" w:rsidRPr="006352F3" w:rsidRDefault="006352F3" w:rsidP="00C3530A">
      <w:pPr>
        <w:pStyle w:val="Title"/>
        <w:spacing w:after="0" w:line="240" w:lineRule="auto"/>
        <w:rPr>
          <w:color w:val="1F4E79" w:themeColor="accent1" w:themeShade="80"/>
        </w:rPr>
      </w:pPr>
      <w:bookmarkStart w:id="6" w:name="_Toc453069556"/>
      <w:bookmarkStart w:id="7" w:name="_Toc497215468"/>
      <w:bookmarkEnd w:id="3"/>
      <w:bookmarkEnd w:id="4"/>
      <w:bookmarkEnd w:id="5"/>
      <w:r w:rsidRPr="006352F3">
        <w:rPr>
          <w:rFonts w:ascii="Arial" w:hAnsi="Arial" w:cs="Arial"/>
          <w:color w:val="1F4E79" w:themeColor="accent1" w:themeShade="80"/>
        </w:rPr>
        <w:t>Regulator Performance Framework:</w:t>
      </w:r>
    </w:p>
    <w:p w14:paraId="170208CB" w14:textId="77777777" w:rsidR="006352F3" w:rsidRPr="00EE276D" w:rsidRDefault="006352F3" w:rsidP="00C3530A">
      <w:pPr>
        <w:pStyle w:val="Title"/>
        <w:spacing w:after="0" w:line="240" w:lineRule="auto"/>
        <w:rPr>
          <w:color w:val="auto"/>
        </w:rPr>
      </w:pPr>
      <w:r w:rsidRPr="006352F3">
        <w:rPr>
          <w:rFonts w:ascii="Arial" w:hAnsi="Arial" w:cs="Arial"/>
          <w:color w:val="1F4E79" w:themeColor="accent1" w:themeShade="80"/>
        </w:rPr>
        <w:t>2018-19 self-assessment</w:t>
      </w:r>
    </w:p>
    <w:p w14:paraId="4E02F10C" w14:textId="77777777" w:rsidR="006352F3" w:rsidRDefault="006352F3" w:rsidP="00C3530A">
      <w:pPr>
        <w:tabs>
          <w:tab w:val="left" w:pos="5895"/>
        </w:tabs>
        <w:spacing w:line="240" w:lineRule="auto"/>
        <w:rPr>
          <w:b/>
        </w:rPr>
        <w:sectPr w:rsidR="006352F3" w:rsidSect="006352F3">
          <w:headerReference w:type="even" r:id="rId13"/>
          <w:headerReference w:type="default" r:id="rId14"/>
          <w:footerReference w:type="even" r:id="rId15"/>
          <w:footerReference w:type="default" r:id="rId16"/>
          <w:headerReference w:type="first" r:id="rId17"/>
          <w:footerReference w:type="first" r:id="rId18"/>
          <w:pgSz w:w="11906" w:h="16838"/>
          <w:pgMar w:top="1418" w:right="1440" w:bottom="993" w:left="1440" w:header="708" w:footer="708" w:gutter="0"/>
          <w:pgNumType w:start="1"/>
          <w:cols w:space="708"/>
          <w:docGrid w:linePitch="360"/>
        </w:sectPr>
      </w:pPr>
    </w:p>
    <w:p w14:paraId="156CAEB6" w14:textId="20789BEF" w:rsidR="00851F51" w:rsidRDefault="00851F51" w:rsidP="00C3530A">
      <w:pPr>
        <w:tabs>
          <w:tab w:val="left" w:pos="5895"/>
        </w:tabs>
        <w:spacing w:line="240" w:lineRule="auto"/>
        <w:rPr>
          <w:b/>
        </w:rPr>
      </w:pPr>
    </w:p>
    <w:sdt>
      <w:sdtPr>
        <w:rPr>
          <w:rFonts w:asciiTheme="minorHAnsi" w:eastAsiaTheme="minorHAnsi" w:hAnsiTheme="minorHAnsi" w:cstheme="minorBidi"/>
          <w:color w:val="auto"/>
          <w:sz w:val="22"/>
          <w:szCs w:val="22"/>
          <w:lang w:val="en-AU"/>
        </w:rPr>
        <w:id w:val="-106975344"/>
        <w:docPartObj>
          <w:docPartGallery w:val="Table of Contents"/>
          <w:docPartUnique/>
        </w:docPartObj>
      </w:sdtPr>
      <w:sdtEndPr>
        <w:rPr>
          <w:b/>
          <w:bCs/>
          <w:noProof/>
        </w:rPr>
      </w:sdtEndPr>
      <w:sdtContent>
        <w:p w14:paraId="05774613" w14:textId="77777777" w:rsidR="00851F51" w:rsidRPr="006352F3" w:rsidRDefault="00851F51" w:rsidP="00C3530A">
          <w:pPr>
            <w:pStyle w:val="TOCHeading"/>
            <w:spacing w:line="240" w:lineRule="auto"/>
            <w:rPr>
              <w:b/>
              <w:color w:val="1F4E79" w:themeColor="accent1" w:themeShade="80"/>
            </w:rPr>
          </w:pPr>
          <w:r w:rsidRPr="006352F3">
            <w:rPr>
              <w:b/>
              <w:color w:val="1F4E79" w:themeColor="accent1" w:themeShade="80"/>
            </w:rPr>
            <w:t>Contents</w:t>
          </w:r>
        </w:p>
        <w:p w14:paraId="2368A624" w14:textId="61980635" w:rsidR="0084660B" w:rsidRDefault="00851F51">
          <w:pPr>
            <w:pStyle w:val="TOC1"/>
            <w:rPr>
              <w:rFonts w:eastAsiaTheme="minorEastAsia"/>
              <w:noProof/>
              <w:lang w:eastAsia="en-AU"/>
            </w:rPr>
          </w:pPr>
          <w:r>
            <w:fldChar w:fldCharType="begin"/>
          </w:r>
          <w:r>
            <w:instrText xml:space="preserve"> TOC \o "1-3" \h \z \u </w:instrText>
          </w:r>
          <w:r>
            <w:fldChar w:fldCharType="separate"/>
          </w:r>
          <w:hyperlink w:anchor="_Toc20813176" w:history="1">
            <w:r w:rsidR="0084660B" w:rsidRPr="002413C0">
              <w:rPr>
                <w:rStyle w:val="Hyperlink"/>
                <w:b/>
                <w:noProof/>
              </w:rPr>
              <w:t>Overview</w:t>
            </w:r>
            <w:r w:rsidR="0084660B">
              <w:rPr>
                <w:noProof/>
                <w:webHidden/>
              </w:rPr>
              <w:tab/>
            </w:r>
            <w:r w:rsidR="0084660B">
              <w:rPr>
                <w:noProof/>
                <w:webHidden/>
              </w:rPr>
              <w:fldChar w:fldCharType="begin"/>
            </w:r>
            <w:r w:rsidR="0084660B">
              <w:rPr>
                <w:noProof/>
                <w:webHidden/>
              </w:rPr>
              <w:instrText xml:space="preserve"> PAGEREF _Toc20813176 \h </w:instrText>
            </w:r>
            <w:r w:rsidR="0084660B">
              <w:rPr>
                <w:noProof/>
                <w:webHidden/>
              </w:rPr>
            </w:r>
            <w:r w:rsidR="0084660B">
              <w:rPr>
                <w:noProof/>
                <w:webHidden/>
              </w:rPr>
              <w:fldChar w:fldCharType="separate"/>
            </w:r>
            <w:r w:rsidR="0084660B">
              <w:rPr>
                <w:noProof/>
                <w:webHidden/>
              </w:rPr>
              <w:t>2</w:t>
            </w:r>
            <w:r w:rsidR="0084660B">
              <w:rPr>
                <w:noProof/>
                <w:webHidden/>
              </w:rPr>
              <w:fldChar w:fldCharType="end"/>
            </w:r>
          </w:hyperlink>
        </w:p>
        <w:p w14:paraId="00BA75FE" w14:textId="12B1DDA3" w:rsidR="0084660B" w:rsidRDefault="0084660B">
          <w:pPr>
            <w:pStyle w:val="TOC1"/>
            <w:rPr>
              <w:rFonts w:eastAsiaTheme="minorEastAsia"/>
              <w:noProof/>
              <w:lang w:eastAsia="en-AU"/>
            </w:rPr>
          </w:pPr>
          <w:hyperlink w:anchor="_Toc20813177" w:history="1">
            <w:r w:rsidRPr="002413C0">
              <w:rPr>
                <w:rStyle w:val="Hyperlink"/>
                <w:b/>
                <w:noProof/>
              </w:rPr>
              <w:t>About NOPTA</w:t>
            </w:r>
            <w:r>
              <w:rPr>
                <w:noProof/>
                <w:webHidden/>
              </w:rPr>
              <w:tab/>
            </w:r>
            <w:r>
              <w:rPr>
                <w:noProof/>
                <w:webHidden/>
              </w:rPr>
              <w:fldChar w:fldCharType="begin"/>
            </w:r>
            <w:r>
              <w:rPr>
                <w:noProof/>
                <w:webHidden/>
              </w:rPr>
              <w:instrText xml:space="preserve"> PAGEREF _Toc20813177 \h </w:instrText>
            </w:r>
            <w:r>
              <w:rPr>
                <w:noProof/>
                <w:webHidden/>
              </w:rPr>
            </w:r>
            <w:r>
              <w:rPr>
                <w:noProof/>
                <w:webHidden/>
              </w:rPr>
              <w:fldChar w:fldCharType="separate"/>
            </w:r>
            <w:r>
              <w:rPr>
                <w:noProof/>
                <w:webHidden/>
              </w:rPr>
              <w:t>4</w:t>
            </w:r>
            <w:r>
              <w:rPr>
                <w:noProof/>
                <w:webHidden/>
              </w:rPr>
              <w:fldChar w:fldCharType="end"/>
            </w:r>
          </w:hyperlink>
        </w:p>
        <w:p w14:paraId="0C4D4C9F" w14:textId="1E4ABFBE" w:rsidR="0084660B" w:rsidRDefault="0084660B">
          <w:pPr>
            <w:pStyle w:val="TOC1"/>
            <w:rPr>
              <w:rFonts w:eastAsiaTheme="minorEastAsia"/>
              <w:noProof/>
              <w:lang w:eastAsia="en-AU"/>
            </w:rPr>
          </w:pPr>
          <w:hyperlink w:anchor="_Toc20813178" w:history="1">
            <w:r w:rsidRPr="002413C0">
              <w:rPr>
                <w:rStyle w:val="Hyperlink"/>
                <w:b/>
                <w:noProof/>
              </w:rPr>
              <w:t>2018-19 NOPTA self-assessment</w:t>
            </w:r>
            <w:r>
              <w:rPr>
                <w:noProof/>
                <w:webHidden/>
              </w:rPr>
              <w:tab/>
            </w:r>
            <w:r>
              <w:rPr>
                <w:noProof/>
                <w:webHidden/>
              </w:rPr>
              <w:fldChar w:fldCharType="begin"/>
            </w:r>
            <w:r>
              <w:rPr>
                <w:noProof/>
                <w:webHidden/>
              </w:rPr>
              <w:instrText xml:space="preserve"> PAGEREF _Toc20813178 \h </w:instrText>
            </w:r>
            <w:r>
              <w:rPr>
                <w:noProof/>
                <w:webHidden/>
              </w:rPr>
            </w:r>
            <w:r>
              <w:rPr>
                <w:noProof/>
                <w:webHidden/>
              </w:rPr>
              <w:fldChar w:fldCharType="separate"/>
            </w:r>
            <w:r>
              <w:rPr>
                <w:noProof/>
                <w:webHidden/>
              </w:rPr>
              <w:t>5</w:t>
            </w:r>
            <w:r>
              <w:rPr>
                <w:noProof/>
                <w:webHidden/>
              </w:rPr>
              <w:fldChar w:fldCharType="end"/>
            </w:r>
          </w:hyperlink>
        </w:p>
        <w:p w14:paraId="0C811DD9" w14:textId="532D6022" w:rsidR="0084660B" w:rsidRDefault="0084660B">
          <w:pPr>
            <w:pStyle w:val="TOC2"/>
            <w:tabs>
              <w:tab w:val="right" w:leader="dot" w:pos="9016"/>
            </w:tabs>
            <w:rPr>
              <w:rFonts w:eastAsiaTheme="minorEastAsia"/>
              <w:noProof/>
              <w:lang w:eastAsia="en-AU"/>
            </w:rPr>
          </w:pPr>
          <w:hyperlink w:anchor="_Toc20813179" w:history="1">
            <w:r w:rsidRPr="002413C0">
              <w:rPr>
                <w:rStyle w:val="Hyperlink"/>
                <w:noProof/>
              </w:rPr>
              <w:t>KPI 1: Regulators do not unnecessarily impede the efficient operation of regulated entities</w:t>
            </w:r>
            <w:r>
              <w:rPr>
                <w:noProof/>
                <w:webHidden/>
              </w:rPr>
              <w:tab/>
            </w:r>
            <w:r>
              <w:rPr>
                <w:noProof/>
                <w:webHidden/>
              </w:rPr>
              <w:fldChar w:fldCharType="begin"/>
            </w:r>
            <w:r>
              <w:rPr>
                <w:noProof/>
                <w:webHidden/>
              </w:rPr>
              <w:instrText xml:space="preserve"> PAGEREF _Toc20813179 \h </w:instrText>
            </w:r>
            <w:r>
              <w:rPr>
                <w:noProof/>
                <w:webHidden/>
              </w:rPr>
            </w:r>
            <w:r>
              <w:rPr>
                <w:noProof/>
                <w:webHidden/>
              </w:rPr>
              <w:fldChar w:fldCharType="separate"/>
            </w:r>
            <w:r>
              <w:rPr>
                <w:noProof/>
                <w:webHidden/>
              </w:rPr>
              <w:t>5</w:t>
            </w:r>
            <w:r>
              <w:rPr>
                <w:noProof/>
                <w:webHidden/>
              </w:rPr>
              <w:fldChar w:fldCharType="end"/>
            </w:r>
          </w:hyperlink>
        </w:p>
        <w:p w14:paraId="5062C1A5" w14:textId="2EC7B4E2" w:rsidR="0084660B" w:rsidRDefault="0084660B">
          <w:pPr>
            <w:pStyle w:val="TOC3"/>
            <w:tabs>
              <w:tab w:val="right" w:leader="dot" w:pos="9016"/>
            </w:tabs>
            <w:rPr>
              <w:rFonts w:eastAsiaTheme="minorEastAsia"/>
              <w:noProof/>
              <w:lang w:eastAsia="en-AU"/>
            </w:rPr>
          </w:pPr>
          <w:hyperlink w:anchor="_Toc20813180" w:history="1">
            <w:r w:rsidRPr="002413C0">
              <w:rPr>
                <w:rStyle w:val="Hyperlink"/>
                <w:noProof/>
              </w:rPr>
              <w:t>KPI Expectations</w:t>
            </w:r>
            <w:r>
              <w:rPr>
                <w:noProof/>
                <w:webHidden/>
              </w:rPr>
              <w:tab/>
            </w:r>
            <w:r>
              <w:rPr>
                <w:noProof/>
                <w:webHidden/>
              </w:rPr>
              <w:fldChar w:fldCharType="begin"/>
            </w:r>
            <w:r>
              <w:rPr>
                <w:noProof/>
                <w:webHidden/>
              </w:rPr>
              <w:instrText xml:space="preserve"> PAGEREF _Toc20813180 \h </w:instrText>
            </w:r>
            <w:r>
              <w:rPr>
                <w:noProof/>
                <w:webHidden/>
              </w:rPr>
            </w:r>
            <w:r>
              <w:rPr>
                <w:noProof/>
                <w:webHidden/>
              </w:rPr>
              <w:fldChar w:fldCharType="separate"/>
            </w:r>
            <w:r>
              <w:rPr>
                <w:noProof/>
                <w:webHidden/>
              </w:rPr>
              <w:t>5</w:t>
            </w:r>
            <w:r>
              <w:rPr>
                <w:noProof/>
                <w:webHidden/>
              </w:rPr>
              <w:fldChar w:fldCharType="end"/>
            </w:r>
          </w:hyperlink>
        </w:p>
        <w:p w14:paraId="77ABB4C9" w14:textId="0429C732" w:rsidR="0084660B" w:rsidRDefault="0084660B">
          <w:pPr>
            <w:pStyle w:val="TOC3"/>
            <w:tabs>
              <w:tab w:val="right" w:leader="dot" w:pos="9016"/>
            </w:tabs>
            <w:rPr>
              <w:rFonts w:eastAsiaTheme="minorEastAsia"/>
              <w:noProof/>
              <w:lang w:eastAsia="en-AU"/>
            </w:rPr>
          </w:pPr>
          <w:hyperlink w:anchor="_Toc20813181" w:history="1">
            <w:r w:rsidRPr="002413C0">
              <w:rPr>
                <w:rStyle w:val="Hyperlink"/>
                <w:noProof/>
              </w:rPr>
              <w:t>NOPTA’s Approach</w:t>
            </w:r>
            <w:r>
              <w:rPr>
                <w:noProof/>
                <w:webHidden/>
              </w:rPr>
              <w:tab/>
            </w:r>
            <w:r>
              <w:rPr>
                <w:noProof/>
                <w:webHidden/>
              </w:rPr>
              <w:fldChar w:fldCharType="begin"/>
            </w:r>
            <w:r>
              <w:rPr>
                <w:noProof/>
                <w:webHidden/>
              </w:rPr>
              <w:instrText xml:space="preserve"> PAGEREF _Toc20813181 \h </w:instrText>
            </w:r>
            <w:r>
              <w:rPr>
                <w:noProof/>
                <w:webHidden/>
              </w:rPr>
            </w:r>
            <w:r>
              <w:rPr>
                <w:noProof/>
                <w:webHidden/>
              </w:rPr>
              <w:fldChar w:fldCharType="separate"/>
            </w:r>
            <w:r>
              <w:rPr>
                <w:noProof/>
                <w:webHidden/>
              </w:rPr>
              <w:t>5</w:t>
            </w:r>
            <w:r>
              <w:rPr>
                <w:noProof/>
                <w:webHidden/>
              </w:rPr>
              <w:fldChar w:fldCharType="end"/>
            </w:r>
          </w:hyperlink>
        </w:p>
        <w:p w14:paraId="11438373" w14:textId="280F3578" w:rsidR="0084660B" w:rsidRDefault="0084660B">
          <w:pPr>
            <w:pStyle w:val="TOC2"/>
            <w:tabs>
              <w:tab w:val="right" w:leader="dot" w:pos="9016"/>
            </w:tabs>
            <w:rPr>
              <w:rFonts w:eastAsiaTheme="minorEastAsia"/>
              <w:noProof/>
              <w:lang w:eastAsia="en-AU"/>
            </w:rPr>
          </w:pPr>
          <w:hyperlink w:anchor="_Toc20813182" w:history="1">
            <w:r w:rsidRPr="002413C0">
              <w:rPr>
                <w:rStyle w:val="Hyperlink"/>
                <w:noProof/>
              </w:rPr>
              <w:t>KPI 2: Communication with regulated entities is clear, targeted and effective</w:t>
            </w:r>
            <w:r>
              <w:rPr>
                <w:noProof/>
                <w:webHidden/>
              </w:rPr>
              <w:tab/>
            </w:r>
            <w:r>
              <w:rPr>
                <w:noProof/>
                <w:webHidden/>
              </w:rPr>
              <w:fldChar w:fldCharType="begin"/>
            </w:r>
            <w:r>
              <w:rPr>
                <w:noProof/>
                <w:webHidden/>
              </w:rPr>
              <w:instrText xml:space="preserve"> PAGEREF _Toc20813182 \h </w:instrText>
            </w:r>
            <w:r>
              <w:rPr>
                <w:noProof/>
                <w:webHidden/>
              </w:rPr>
            </w:r>
            <w:r>
              <w:rPr>
                <w:noProof/>
                <w:webHidden/>
              </w:rPr>
              <w:fldChar w:fldCharType="separate"/>
            </w:r>
            <w:r>
              <w:rPr>
                <w:noProof/>
                <w:webHidden/>
              </w:rPr>
              <w:t>6</w:t>
            </w:r>
            <w:r>
              <w:rPr>
                <w:noProof/>
                <w:webHidden/>
              </w:rPr>
              <w:fldChar w:fldCharType="end"/>
            </w:r>
          </w:hyperlink>
        </w:p>
        <w:p w14:paraId="66169324" w14:textId="79C3163A" w:rsidR="0084660B" w:rsidRDefault="0084660B">
          <w:pPr>
            <w:pStyle w:val="TOC3"/>
            <w:tabs>
              <w:tab w:val="right" w:leader="dot" w:pos="9016"/>
            </w:tabs>
            <w:rPr>
              <w:rFonts w:eastAsiaTheme="minorEastAsia"/>
              <w:noProof/>
              <w:lang w:eastAsia="en-AU"/>
            </w:rPr>
          </w:pPr>
          <w:hyperlink w:anchor="_Toc20813183" w:history="1">
            <w:r w:rsidRPr="002413C0">
              <w:rPr>
                <w:rStyle w:val="Hyperlink"/>
                <w:noProof/>
              </w:rPr>
              <w:t>KPI Expectations</w:t>
            </w:r>
            <w:r>
              <w:rPr>
                <w:noProof/>
                <w:webHidden/>
              </w:rPr>
              <w:tab/>
            </w:r>
            <w:r>
              <w:rPr>
                <w:noProof/>
                <w:webHidden/>
              </w:rPr>
              <w:fldChar w:fldCharType="begin"/>
            </w:r>
            <w:r>
              <w:rPr>
                <w:noProof/>
                <w:webHidden/>
              </w:rPr>
              <w:instrText xml:space="preserve"> PAGEREF _Toc20813183 \h </w:instrText>
            </w:r>
            <w:r>
              <w:rPr>
                <w:noProof/>
                <w:webHidden/>
              </w:rPr>
            </w:r>
            <w:r>
              <w:rPr>
                <w:noProof/>
                <w:webHidden/>
              </w:rPr>
              <w:fldChar w:fldCharType="separate"/>
            </w:r>
            <w:r>
              <w:rPr>
                <w:noProof/>
                <w:webHidden/>
              </w:rPr>
              <w:t>6</w:t>
            </w:r>
            <w:r>
              <w:rPr>
                <w:noProof/>
                <w:webHidden/>
              </w:rPr>
              <w:fldChar w:fldCharType="end"/>
            </w:r>
          </w:hyperlink>
        </w:p>
        <w:p w14:paraId="0B17A70B" w14:textId="0DB3BBEB" w:rsidR="0084660B" w:rsidRDefault="0084660B">
          <w:pPr>
            <w:pStyle w:val="TOC3"/>
            <w:tabs>
              <w:tab w:val="right" w:leader="dot" w:pos="9016"/>
            </w:tabs>
            <w:rPr>
              <w:rFonts w:eastAsiaTheme="minorEastAsia"/>
              <w:noProof/>
              <w:lang w:eastAsia="en-AU"/>
            </w:rPr>
          </w:pPr>
          <w:hyperlink w:anchor="_Toc20813184" w:history="1">
            <w:r w:rsidRPr="002413C0">
              <w:rPr>
                <w:rStyle w:val="Hyperlink"/>
                <w:noProof/>
              </w:rPr>
              <w:t>NOPTA’s Approach</w:t>
            </w:r>
            <w:r>
              <w:rPr>
                <w:noProof/>
                <w:webHidden/>
              </w:rPr>
              <w:tab/>
            </w:r>
            <w:r>
              <w:rPr>
                <w:noProof/>
                <w:webHidden/>
              </w:rPr>
              <w:fldChar w:fldCharType="begin"/>
            </w:r>
            <w:r>
              <w:rPr>
                <w:noProof/>
                <w:webHidden/>
              </w:rPr>
              <w:instrText xml:space="preserve"> PAGEREF _Toc20813184 \h </w:instrText>
            </w:r>
            <w:r>
              <w:rPr>
                <w:noProof/>
                <w:webHidden/>
              </w:rPr>
            </w:r>
            <w:r>
              <w:rPr>
                <w:noProof/>
                <w:webHidden/>
              </w:rPr>
              <w:fldChar w:fldCharType="separate"/>
            </w:r>
            <w:r>
              <w:rPr>
                <w:noProof/>
                <w:webHidden/>
              </w:rPr>
              <w:t>6</w:t>
            </w:r>
            <w:r>
              <w:rPr>
                <w:noProof/>
                <w:webHidden/>
              </w:rPr>
              <w:fldChar w:fldCharType="end"/>
            </w:r>
          </w:hyperlink>
        </w:p>
        <w:p w14:paraId="2570181B" w14:textId="0D195B33" w:rsidR="0084660B" w:rsidRDefault="0084660B">
          <w:pPr>
            <w:pStyle w:val="TOC2"/>
            <w:tabs>
              <w:tab w:val="right" w:leader="dot" w:pos="9016"/>
            </w:tabs>
            <w:rPr>
              <w:rFonts w:eastAsiaTheme="minorEastAsia"/>
              <w:noProof/>
              <w:lang w:eastAsia="en-AU"/>
            </w:rPr>
          </w:pPr>
          <w:hyperlink w:anchor="_Toc20813185" w:history="1">
            <w:r w:rsidRPr="002413C0">
              <w:rPr>
                <w:rStyle w:val="Hyperlink"/>
                <w:noProof/>
              </w:rPr>
              <w:t>KPI 3: Actions undertaken by regulators are proportionate to the regulatory risk being managed</w:t>
            </w:r>
            <w:r>
              <w:rPr>
                <w:noProof/>
                <w:webHidden/>
              </w:rPr>
              <w:tab/>
            </w:r>
            <w:r>
              <w:rPr>
                <w:noProof/>
                <w:webHidden/>
              </w:rPr>
              <w:fldChar w:fldCharType="begin"/>
            </w:r>
            <w:r>
              <w:rPr>
                <w:noProof/>
                <w:webHidden/>
              </w:rPr>
              <w:instrText xml:space="preserve"> PAGEREF _Toc20813185 \h </w:instrText>
            </w:r>
            <w:r>
              <w:rPr>
                <w:noProof/>
                <w:webHidden/>
              </w:rPr>
            </w:r>
            <w:r>
              <w:rPr>
                <w:noProof/>
                <w:webHidden/>
              </w:rPr>
              <w:fldChar w:fldCharType="separate"/>
            </w:r>
            <w:r>
              <w:rPr>
                <w:noProof/>
                <w:webHidden/>
              </w:rPr>
              <w:t>8</w:t>
            </w:r>
            <w:r>
              <w:rPr>
                <w:noProof/>
                <w:webHidden/>
              </w:rPr>
              <w:fldChar w:fldCharType="end"/>
            </w:r>
          </w:hyperlink>
        </w:p>
        <w:p w14:paraId="585985BF" w14:textId="5C2BD102" w:rsidR="0084660B" w:rsidRDefault="0084660B">
          <w:pPr>
            <w:pStyle w:val="TOC3"/>
            <w:tabs>
              <w:tab w:val="right" w:leader="dot" w:pos="9016"/>
            </w:tabs>
            <w:rPr>
              <w:rFonts w:eastAsiaTheme="minorEastAsia"/>
              <w:noProof/>
              <w:lang w:eastAsia="en-AU"/>
            </w:rPr>
          </w:pPr>
          <w:hyperlink w:anchor="_Toc20813186" w:history="1">
            <w:r w:rsidRPr="002413C0">
              <w:rPr>
                <w:rStyle w:val="Hyperlink"/>
                <w:noProof/>
              </w:rPr>
              <w:t>KPI Expectations</w:t>
            </w:r>
            <w:r>
              <w:rPr>
                <w:noProof/>
                <w:webHidden/>
              </w:rPr>
              <w:tab/>
            </w:r>
            <w:r>
              <w:rPr>
                <w:noProof/>
                <w:webHidden/>
              </w:rPr>
              <w:fldChar w:fldCharType="begin"/>
            </w:r>
            <w:r>
              <w:rPr>
                <w:noProof/>
                <w:webHidden/>
              </w:rPr>
              <w:instrText xml:space="preserve"> PAGEREF _Toc20813186 \h </w:instrText>
            </w:r>
            <w:r>
              <w:rPr>
                <w:noProof/>
                <w:webHidden/>
              </w:rPr>
            </w:r>
            <w:r>
              <w:rPr>
                <w:noProof/>
                <w:webHidden/>
              </w:rPr>
              <w:fldChar w:fldCharType="separate"/>
            </w:r>
            <w:r>
              <w:rPr>
                <w:noProof/>
                <w:webHidden/>
              </w:rPr>
              <w:t>8</w:t>
            </w:r>
            <w:r>
              <w:rPr>
                <w:noProof/>
                <w:webHidden/>
              </w:rPr>
              <w:fldChar w:fldCharType="end"/>
            </w:r>
          </w:hyperlink>
        </w:p>
        <w:p w14:paraId="7D6CC43A" w14:textId="2661673B" w:rsidR="0084660B" w:rsidRDefault="0084660B">
          <w:pPr>
            <w:pStyle w:val="TOC3"/>
            <w:tabs>
              <w:tab w:val="right" w:leader="dot" w:pos="9016"/>
            </w:tabs>
            <w:rPr>
              <w:rFonts w:eastAsiaTheme="minorEastAsia"/>
              <w:noProof/>
              <w:lang w:eastAsia="en-AU"/>
            </w:rPr>
          </w:pPr>
          <w:hyperlink w:anchor="_Toc20813187" w:history="1">
            <w:r w:rsidRPr="002413C0">
              <w:rPr>
                <w:rStyle w:val="Hyperlink"/>
                <w:noProof/>
              </w:rPr>
              <w:t>NOPTA’s Approach</w:t>
            </w:r>
            <w:r>
              <w:rPr>
                <w:noProof/>
                <w:webHidden/>
              </w:rPr>
              <w:tab/>
            </w:r>
            <w:r>
              <w:rPr>
                <w:noProof/>
                <w:webHidden/>
              </w:rPr>
              <w:fldChar w:fldCharType="begin"/>
            </w:r>
            <w:r>
              <w:rPr>
                <w:noProof/>
                <w:webHidden/>
              </w:rPr>
              <w:instrText xml:space="preserve"> PAGEREF _Toc20813187 \h </w:instrText>
            </w:r>
            <w:r>
              <w:rPr>
                <w:noProof/>
                <w:webHidden/>
              </w:rPr>
            </w:r>
            <w:r>
              <w:rPr>
                <w:noProof/>
                <w:webHidden/>
              </w:rPr>
              <w:fldChar w:fldCharType="separate"/>
            </w:r>
            <w:r>
              <w:rPr>
                <w:noProof/>
                <w:webHidden/>
              </w:rPr>
              <w:t>8</w:t>
            </w:r>
            <w:r>
              <w:rPr>
                <w:noProof/>
                <w:webHidden/>
              </w:rPr>
              <w:fldChar w:fldCharType="end"/>
            </w:r>
          </w:hyperlink>
        </w:p>
        <w:p w14:paraId="50B0EF16" w14:textId="539BE93B" w:rsidR="0084660B" w:rsidRDefault="0084660B">
          <w:pPr>
            <w:pStyle w:val="TOC2"/>
            <w:tabs>
              <w:tab w:val="right" w:leader="dot" w:pos="9016"/>
            </w:tabs>
            <w:rPr>
              <w:rFonts w:eastAsiaTheme="minorEastAsia"/>
              <w:noProof/>
              <w:lang w:eastAsia="en-AU"/>
            </w:rPr>
          </w:pPr>
          <w:hyperlink w:anchor="_Toc20813188" w:history="1">
            <w:r w:rsidRPr="002413C0">
              <w:rPr>
                <w:rStyle w:val="Hyperlink"/>
                <w:noProof/>
              </w:rPr>
              <w:t>KPI 4: Compliance and monitoring approaches are streamlined and coordinated</w:t>
            </w:r>
            <w:r>
              <w:rPr>
                <w:noProof/>
                <w:webHidden/>
              </w:rPr>
              <w:tab/>
            </w:r>
            <w:r>
              <w:rPr>
                <w:noProof/>
                <w:webHidden/>
              </w:rPr>
              <w:fldChar w:fldCharType="begin"/>
            </w:r>
            <w:r>
              <w:rPr>
                <w:noProof/>
                <w:webHidden/>
              </w:rPr>
              <w:instrText xml:space="preserve"> PAGEREF _Toc20813188 \h </w:instrText>
            </w:r>
            <w:r>
              <w:rPr>
                <w:noProof/>
                <w:webHidden/>
              </w:rPr>
            </w:r>
            <w:r>
              <w:rPr>
                <w:noProof/>
                <w:webHidden/>
              </w:rPr>
              <w:fldChar w:fldCharType="separate"/>
            </w:r>
            <w:r>
              <w:rPr>
                <w:noProof/>
                <w:webHidden/>
              </w:rPr>
              <w:t>9</w:t>
            </w:r>
            <w:r>
              <w:rPr>
                <w:noProof/>
                <w:webHidden/>
              </w:rPr>
              <w:fldChar w:fldCharType="end"/>
            </w:r>
          </w:hyperlink>
        </w:p>
        <w:p w14:paraId="2ED10F50" w14:textId="3AE815B3" w:rsidR="0084660B" w:rsidRDefault="0084660B">
          <w:pPr>
            <w:pStyle w:val="TOC3"/>
            <w:tabs>
              <w:tab w:val="right" w:leader="dot" w:pos="9016"/>
            </w:tabs>
            <w:rPr>
              <w:rFonts w:eastAsiaTheme="minorEastAsia"/>
              <w:noProof/>
              <w:lang w:eastAsia="en-AU"/>
            </w:rPr>
          </w:pPr>
          <w:hyperlink w:anchor="_Toc20813189" w:history="1">
            <w:r w:rsidRPr="002413C0">
              <w:rPr>
                <w:rStyle w:val="Hyperlink"/>
                <w:noProof/>
              </w:rPr>
              <w:t>KPI Expectations</w:t>
            </w:r>
            <w:r>
              <w:rPr>
                <w:noProof/>
                <w:webHidden/>
              </w:rPr>
              <w:tab/>
            </w:r>
            <w:r>
              <w:rPr>
                <w:noProof/>
                <w:webHidden/>
              </w:rPr>
              <w:fldChar w:fldCharType="begin"/>
            </w:r>
            <w:r>
              <w:rPr>
                <w:noProof/>
                <w:webHidden/>
              </w:rPr>
              <w:instrText xml:space="preserve"> PAGEREF _Toc20813189 \h </w:instrText>
            </w:r>
            <w:r>
              <w:rPr>
                <w:noProof/>
                <w:webHidden/>
              </w:rPr>
            </w:r>
            <w:r>
              <w:rPr>
                <w:noProof/>
                <w:webHidden/>
              </w:rPr>
              <w:fldChar w:fldCharType="separate"/>
            </w:r>
            <w:r>
              <w:rPr>
                <w:noProof/>
                <w:webHidden/>
              </w:rPr>
              <w:t>9</w:t>
            </w:r>
            <w:r>
              <w:rPr>
                <w:noProof/>
                <w:webHidden/>
              </w:rPr>
              <w:fldChar w:fldCharType="end"/>
            </w:r>
          </w:hyperlink>
        </w:p>
        <w:p w14:paraId="25452E41" w14:textId="64DFA51A" w:rsidR="0084660B" w:rsidRDefault="0084660B">
          <w:pPr>
            <w:pStyle w:val="TOC3"/>
            <w:tabs>
              <w:tab w:val="right" w:leader="dot" w:pos="9016"/>
            </w:tabs>
            <w:rPr>
              <w:rFonts w:eastAsiaTheme="minorEastAsia"/>
              <w:noProof/>
              <w:lang w:eastAsia="en-AU"/>
            </w:rPr>
          </w:pPr>
          <w:hyperlink w:anchor="_Toc20813190" w:history="1">
            <w:r w:rsidRPr="002413C0">
              <w:rPr>
                <w:rStyle w:val="Hyperlink"/>
                <w:noProof/>
              </w:rPr>
              <w:t>NOPTA’s Approach</w:t>
            </w:r>
            <w:r>
              <w:rPr>
                <w:noProof/>
                <w:webHidden/>
              </w:rPr>
              <w:tab/>
            </w:r>
            <w:r>
              <w:rPr>
                <w:noProof/>
                <w:webHidden/>
              </w:rPr>
              <w:fldChar w:fldCharType="begin"/>
            </w:r>
            <w:r>
              <w:rPr>
                <w:noProof/>
                <w:webHidden/>
              </w:rPr>
              <w:instrText xml:space="preserve"> PAGEREF _Toc20813190 \h </w:instrText>
            </w:r>
            <w:r>
              <w:rPr>
                <w:noProof/>
                <w:webHidden/>
              </w:rPr>
            </w:r>
            <w:r>
              <w:rPr>
                <w:noProof/>
                <w:webHidden/>
              </w:rPr>
              <w:fldChar w:fldCharType="separate"/>
            </w:r>
            <w:r>
              <w:rPr>
                <w:noProof/>
                <w:webHidden/>
              </w:rPr>
              <w:t>9</w:t>
            </w:r>
            <w:r>
              <w:rPr>
                <w:noProof/>
                <w:webHidden/>
              </w:rPr>
              <w:fldChar w:fldCharType="end"/>
            </w:r>
          </w:hyperlink>
        </w:p>
        <w:p w14:paraId="6A0C444F" w14:textId="16B5DA8F" w:rsidR="0084660B" w:rsidRDefault="0084660B">
          <w:pPr>
            <w:pStyle w:val="TOC2"/>
            <w:tabs>
              <w:tab w:val="right" w:leader="dot" w:pos="9016"/>
            </w:tabs>
            <w:rPr>
              <w:rFonts w:eastAsiaTheme="minorEastAsia"/>
              <w:noProof/>
              <w:lang w:eastAsia="en-AU"/>
            </w:rPr>
          </w:pPr>
          <w:hyperlink w:anchor="_Toc20813191" w:history="1">
            <w:r w:rsidRPr="002413C0">
              <w:rPr>
                <w:rStyle w:val="Hyperlink"/>
                <w:noProof/>
              </w:rPr>
              <w:t>KPI 5: Regulators are open and transparent in their dealings with regulated entities</w:t>
            </w:r>
            <w:r>
              <w:rPr>
                <w:noProof/>
                <w:webHidden/>
              </w:rPr>
              <w:tab/>
            </w:r>
            <w:r>
              <w:rPr>
                <w:noProof/>
                <w:webHidden/>
              </w:rPr>
              <w:fldChar w:fldCharType="begin"/>
            </w:r>
            <w:r>
              <w:rPr>
                <w:noProof/>
                <w:webHidden/>
              </w:rPr>
              <w:instrText xml:space="preserve"> PAGEREF _Toc20813191 \h </w:instrText>
            </w:r>
            <w:r>
              <w:rPr>
                <w:noProof/>
                <w:webHidden/>
              </w:rPr>
            </w:r>
            <w:r>
              <w:rPr>
                <w:noProof/>
                <w:webHidden/>
              </w:rPr>
              <w:fldChar w:fldCharType="separate"/>
            </w:r>
            <w:r>
              <w:rPr>
                <w:noProof/>
                <w:webHidden/>
              </w:rPr>
              <w:t>10</w:t>
            </w:r>
            <w:r>
              <w:rPr>
                <w:noProof/>
                <w:webHidden/>
              </w:rPr>
              <w:fldChar w:fldCharType="end"/>
            </w:r>
          </w:hyperlink>
        </w:p>
        <w:p w14:paraId="73A57C96" w14:textId="486C85CA" w:rsidR="0084660B" w:rsidRDefault="0084660B">
          <w:pPr>
            <w:pStyle w:val="TOC3"/>
            <w:tabs>
              <w:tab w:val="right" w:leader="dot" w:pos="9016"/>
            </w:tabs>
            <w:rPr>
              <w:rFonts w:eastAsiaTheme="minorEastAsia"/>
              <w:noProof/>
              <w:lang w:eastAsia="en-AU"/>
            </w:rPr>
          </w:pPr>
          <w:hyperlink w:anchor="_Toc20813192" w:history="1">
            <w:r w:rsidRPr="002413C0">
              <w:rPr>
                <w:rStyle w:val="Hyperlink"/>
                <w:noProof/>
              </w:rPr>
              <w:t>KPI Expectations</w:t>
            </w:r>
            <w:r>
              <w:rPr>
                <w:noProof/>
                <w:webHidden/>
              </w:rPr>
              <w:tab/>
            </w:r>
            <w:r>
              <w:rPr>
                <w:noProof/>
                <w:webHidden/>
              </w:rPr>
              <w:fldChar w:fldCharType="begin"/>
            </w:r>
            <w:r>
              <w:rPr>
                <w:noProof/>
                <w:webHidden/>
              </w:rPr>
              <w:instrText xml:space="preserve"> PAGEREF _Toc20813192 \h </w:instrText>
            </w:r>
            <w:r>
              <w:rPr>
                <w:noProof/>
                <w:webHidden/>
              </w:rPr>
            </w:r>
            <w:r>
              <w:rPr>
                <w:noProof/>
                <w:webHidden/>
              </w:rPr>
              <w:fldChar w:fldCharType="separate"/>
            </w:r>
            <w:r>
              <w:rPr>
                <w:noProof/>
                <w:webHidden/>
              </w:rPr>
              <w:t>10</w:t>
            </w:r>
            <w:r>
              <w:rPr>
                <w:noProof/>
                <w:webHidden/>
              </w:rPr>
              <w:fldChar w:fldCharType="end"/>
            </w:r>
          </w:hyperlink>
        </w:p>
        <w:p w14:paraId="2EA98A4B" w14:textId="4C5CDF86" w:rsidR="0084660B" w:rsidRDefault="0084660B">
          <w:pPr>
            <w:pStyle w:val="TOC3"/>
            <w:tabs>
              <w:tab w:val="right" w:leader="dot" w:pos="9016"/>
            </w:tabs>
            <w:rPr>
              <w:rFonts w:eastAsiaTheme="minorEastAsia"/>
              <w:noProof/>
              <w:lang w:eastAsia="en-AU"/>
            </w:rPr>
          </w:pPr>
          <w:hyperlink w:anchor="_Toc20813193" w:history="1">
            <w:r w:rsidRPr="002413C0">
              <w:rPr>
                <w:rStyle w:val="Hyperlink"/>
                <w:noProof/>
              </w:rPr>
              <w:t>NOPTA’s Approach</w:t>
            </w:r>
            <w:r>
              <w:rPr>
                <w:noProof/>
                <w:webHidden/>
              </w:rPr>
              <w:tab/>
            </w:r>
            <w:r>
              <w:rPr>
                <w:noProof/>
                <w:webHidden/>
              </w:rPr>
              <w:fldChar w:fldCharType="begin"/>
            </w:r>
            <w:r>
              <w:rPr>
                <w:noProof/>
                <w:webHidden/>
              </w:rPr>
              <w:instrText xml:space="preserve"> PAGEREF _Toc20813193 \h </w:instrText>
            </w:r>
            <w:r>
              <w:rPr>
                <w:noProof/>
                <w:webHidden/>
              </w:rPr>
            </w:r>
            <w:r>
              <w:rPr>
                <w:noProof/>
                <w:webHidden/>
              </w:rPr>
              <w:fldChar w:fldCharType="separate"/>
            </w:r>
            <w:r>
              <w:rPr>
                <w:noProof/>
                <w:webHidden/>
              </w:rPr>
              <w:t>10</w:t>
            </w:r>
            <w:r>
              <w:rPr>
                <w:noProof/>
                <w:webHidden/>
              </w:rPr>
              <w:fldChar w:fldCharType="end"/>
            </w:r>
          </w:hyperlink>
        </w:p>
        <w:p w14:paraId="392B2634" w14:textId="0B1D0346" w:rsidR="0084660B" w:rsidRDefault="0084660B">
          <w:pPr>
            <w:pStyle w:val="TOC2"/>
            <w:tabs>
              <w:tab w:val="right" w:leader="dot" w:pos="9016"/>
            </w:tabs>
            <w:rPr>
              <w:rFonts w:eastAsiaTheme="minorEastAsia"/>
              <w:noProof/>
              <w:lang w:eastAsia="en-AU"/>
            </w:rPr>
          </w:pPr>
          <w:hyperlink w:anchor="_Toc20813194" w:history="1">
            <w:r w:rsidRPr="002413C0">
              <w:rPr>
                <w:rStyle w:val="Hyperlink"/>
                <w:noProof/>
              </w:rPr>
              <w:t>KPI 6: Regulators actively contribute to the continuous improvement of regulatory frameworks</w:t>
            </w:r>
            <w:r>
              <w:rPr>
                <w:noProof/>
                <w:webHidden/>
              </w:rPr>
              <w:tab/>
            </w:r>
            <w:r>
              <w:rPr>
                <w:noProof/>
                <w:webHidden/>
              </w:rPr>
              <w:fldChar w:fldCharType="begin"/>
            </w:r>
            <w:r>
              <w:rPr>
                <w:noProof/>
                <w:webHidden/>
              </w:rPr>
              <w:instrText xml:space="preserve"> PAGEREF _Toc20813194 \h </w:instrText>
            </w:r>
            <w:r>
              <w:rPr>
                <w:noProof/>
                <w:webHidden/>
              </w:rPr>
            </w:r>
            <w:r>
              <w:rPr>
                <w:noProof/>
                <w:webHidden/>
              </w:rPr>
              <w:fldChar w:fldCharType="separate"/>
            </w:r>
            <w:r>
              <w:rPr>
                <w:noProof/>
                <w:webHidden/>
              </w:rPr>
              <w:t>11</w:t>
            </w:r>
            <w:r>
              <w:rPr>
                <w:noProof/>
                <w:webHidden/>
              </w:rPr>
              <w:fldChar w:fldCharType="end"/>
            </w:r>
          </w:hyperlink>
        </w:p>
        <w:p w14:paraId="47657341" w14:textId="5049E15D" w:rsidR="0084660B" w:rsidRDefault="0084660B">
          <w:pPr>
            <w:pStyle w:val="TOC3"/>
            <w:tabs>
              <w:tab w:val="right" w:leader="dot" w:pos="9016"/>
            </w:tabs>
            <w:rPr>
              <w:rFonts w:eastAsiaTheme="minorEastAsia"/>
              <w:noProof/>
              <w:lang w:eastAsia="en-AU"/>
            </w:rPr>
          </w:pPr>
          <w:hyperlink w:anchor="_Toc20813195" w:history="1">
            <w:r w:rsidRPr="002413C0">
              <w:rPr>
                <w:rStyle w:val="Hyperlink"/>
                <w:noProof/>
              </w:rPr>
              <w:t>KPI Expectations</w:t>
            </w:r>
            <w:r>
              <w:rPr>
                <w:noProof/>
                <w:webHidden/>
              </w:rPr>
              <w:tab/>
            </w:r>
            <w:r>
              <w:rPr>
                <w:noProof/>
                <w:webHidden/>
              </w:rPr>
              <w:fldChar w:fldCharType="begin"/>
            </w:r>
            <w:r>
              <w:rPr>
                <w:noProof/>
                <w:webHidden/>
              </w:rPr>
              <w:instrText xml:space="preserve"> PAGEREF _Toc20813195 \h </w:instrText>
            </w:r>
            <w:r>
              <w:rPr>
                <w:noProof/>
                <w:webHidden/>
              </w:rPr>
            </w:r>
            <w:r>
              <w:rPr>
                <w:noProof/>
                <w:webHidden/>
              </w:rPr>
              <w:fldChar w:fldCharType="separate"/>
            </w:r>
            <w:r>
              <w:rPr>
                <w:noProof/>
                <w:webHidden/>
              </w:rPr>
              <w:t>11</w:t>
            </w:r>
            <w:r>
              <w:rPr>
                <w:noProof/>
                <w:webHidden/>
              </w:rPr>
              <w:fldChar w:fldCharType="end"/>
            </w:r>
          </w:hyperlink>
        </w:p>
        <w:p w14:paraId="1A0360B4" w14:textId="5FA1A4D8" w:rsidR="0084660B" w:rsidRDefault="0084660B">
          <w:pPr>
            <w:pStyle w:val="TOC3"/>
            <w:tabs>
              <w:tab w:val="right" w:leader="dot" w:pos="9016"/>
            </w:tabs>
            <w:rPr>
              <w:rFonts w:eastAsiaTheme="minorEastAsia"/>
              <w:noProof/>
              <w:lang w:eastAsia="en-AU"/>
            </w:rPr>
          </w:pPr>
          <w:hyperlink w:anchor="_Toc20813196" w:history="1">
            <w:r w:rsidRPr="002413C0">
              <w:rPr>
                <w:rStyle w:val="Hyperlink"/>
                <w:noProof/>
              </w:rPr>
              <w:t>NOPTA’s Approach</w:t>
            </w:r>
            <w:r>
              <w:rPr>
                <w:noProof/>
                <w:webHidden/>
              </w:rPr>
              <w:tab/>
            </w:r>
            <w:r>
              <w:rPr>
                <w:noProof/>
                <w:webHidden/>
              </w:rPr>
              <w:fldChar w:fldCharType="begin"/>
            </w:r>
            <w:r>
              <w:rPr>
                <w:noProof/>
                <w:webHidden/>
              </w:rPr>
              <w:instrText xml:space="preserve"> PAGEREF _Toc20813196 \h </w:instrText>
            </w:r>
            <w:r>
              <w:rPr>
                <w:noProof/>
                <w:webHidden/>
              </w:rPr>
            </w:r>
            <w:r>
              <w:rPr>
                <w:noProof/>
                <w:webHidden/>
              </w:rPr>
              <w:fldChar w:fldCharType="separate"/>
            </w:r>
            <w:r>
              <w:rPr>
                <w:noProof/>
                <w:webHidden/>
              </w:rPr>
              <w:t>11</w:t>
            </w:r>
            <w:r>
              <w:rPr>
                <w:noProof/>
                <w:webHidden/>
              </w:rPr>
              <w:fldChar w:fldCharType="end"/>
            </w:r>
          </w:hyperlink>
        </w:p>
        <w:p w14:paraId="0EA195F0" w14:textId="2E32C683" w:rsidR="0084660B" w:rsidRDefault="0084660B">
          <w:pPr>
            <w:pStyle w:val="TOC2"/>
            <w:tabs>
              <w:tab w:val="right" w:leader="dot" w:pos="9016"/>
            </w:tabs>
            <w:rPr>
              <w:rFonts w:eastAsiaTheme="minorEastAsia"/>
              <w:noProof/>
              <w:lang w:eastAsia="en-AU"/>
            </w:rPr>
          </w:pPr>
          <w:hyperlink w:anchor="_Toc20813197" w:history="1">
            <w:r w:rsidRPr="002413C0">
              <w:rPr>
                <w:rStyle w:val="Hyperlink"/>
                <w:noProof/>
              </w:rPr>
              <w:t>External Validation Comments</w:t>
            </w:r>
            <w:r>
              <w:rPr>
                <w:noProof/>
                <w:webHidden/>
              </w:rPr>
              <w:tab/>
            </w:r>
            <w:r>
              <w:rPr>
                <w:noProof/>
                <w:webHidden/>
              </w:rPr>
              <w:fldChar w:fldCharType="begin"/>
            </w:r>
            <w:r>
              <w:rPr>
                <w:noProof/>
                <w:webHidden/>
              </w:rPr>
              <w:instrText xml:space="preserve"> PAGEREF _Toc20813197 \h </w:instrText>
            </w:r>
            <w:r>
              <w:rPr>
                <w:noProof/>
                <w:webHidden/>
              </w:rPr>
            </w:r>
            <w:r>
              <w:rPr>
                <w:noProof/>
                <w:webHidden/>
              </w:rPr>
              <w:fldChar w:fldCharType="separate"/>
            </w:r>
            <w:r>
              <w:rPr>
                <w:noProof/>
                <w:webHidden/>
              </w:rPr>
              <w:t>12</w:t>
            </w:r>
            <w:r>
              <w:rPr>
                <w:noProof/>
                <w:webHidden/>
              </w:rPr>
              <w:fldChar w:fldCharType="end"/>
            </w:r>
          </w:hyperlink>
        </w:p>
        <w:p w14:paraId="636CF841" w14:textId="369F96CA" w:rsidR="00851F51" w:rsidRDefault="00851F51" w:rsidP="00C3530A">
          <w:pPr>
            <w:spacing w:line="240" w:lineRule="auto"/>
          </w:pPr>
          <w:r>
            <w:rPr>
              <w:b/>
              <w:bCs/>
              <w:noProof/>
            </w:rPr>
            <w:fldChar w:fldCharType="end"/>
          </w:r>
        </w:p>
      </w:sdtContent>
    </w:sdt>
    <w:p w14:paraId="53410C31" w14:textId="77777777" w:rsidR="006352F3" w:rsidRPr="006352F3" w:rsidRDefault="006352F3" w:rsidP="00C3530A">
      <w:pPr>
        <w:spacing w:line="240" w:lineRule="auto"/>
      </w:pPr>
    </w:p>
    <w:p w14:paraId="3943ECB0" w14:textId="7DDBE0DE" w:rsidR="006352F3" w:rsidRPr="006352F3" w:rsidRDefault="006352F3" w:rsidP="00C3530A">
      <w:pPr>
        <w:spacing w:line="240" w:lineRule="auto"/>
      </w:pPr>
    </w:p>
    <w:p w14:paraId="774EA90B" w14:textId="1FB809B4" w:rsidR="006352F3" w:rsidRPr="006352F3" w:rsidRDefault="006352F3" w:rsidP="00C3530A">
      <w:pPr>
        <w:spacing w:line="240" w:lineRule="auto"/>
      </w:pPr>
    </w:p>
    <w:p w14:paraId="7258F7DC" w14:textId="5A2998F9" w:rsidR="006352F3" w:rsidRPr="006352F3" w:rsidRDefault="006352F3" w:rsidP="00C3530A">
      <w:pPr>
        <w:spacing w:line="240" w:lineRule="auto"/>
      </w:pPr>
    </w:p>
    <w:p w14:paraId="08DE7196" w14:textId="58B834E6" w:rsidR="006352F3" w:rsidRPr="006352F3" w:rsidRDefault="006352F3" w:rsidP="00C3530A">
      <w:pPr>
        <w:spacing w:line="240" w:lineRule="auto"/>
      </w:pPr>
    </w:p>
    <w:p w14:paraId="2DD2383E" w14:textId="74C47072" w:rsidR="006352F3" w:rsidRPr="006352F3" w:rsidRDefault="006352F3" w:rsidP="00C3530A">
      <w:pPr>
        <w:spacing w:line="240" w:lineRule="auto"/>
      </w:pPr>
    </w:p>
    <w:p w14:paraId="2F1AC205" w14:textId="3092165B" w:rsidR="006352F3" w:rsidRPr="006352F3" w:rsidRDefault="006352F3" w:rsidP="00C3530A">
      <w:pPr>
        <w:spacing w:line="240" w:lineRule="auto"/>
      </w:pPr>
    </w:p>
    <w:p w14:paraId="425DBD62" w14:textId="77777777" w:rsidR="00C3530A" w:rsidRDefault="00C3530A" w:rsidP="00C3530A">
      <w:pPr>
        <w:spacing w:line="240" w:lineRule="auto"/>
        <w:rPr>
          <w:rFonts w:asciiTheme="majorHAnsi" w:eastAsiaTheme="majorEastAsia" w:hAnsiTheme="majorHAnsi" w:cstheme="majorBidi"/>
          <w:b/>
          <w:color w:val="1F4E79" w:themeColor="accent1" w:themeShade="80"/>
          <w:sz w:val="32"/>
          <w:szCs w:val="32"/>
        </w:rPr>
      </w:pPr>
      <w:bookmarkStart w:id="8" w:name="_Toc497215465"/>
      <w:bookmarkStart w:id="9" w:name="_Toc453069550"/>
      <w:r>
        <w:rPr>
          <w:b/>
          <w:color w:val="1F4E79" w:themeColor="accent1" w:themeShade="80"/>
        </w:rPr>
        <w:br w:type="page"/>
      </w:r>
    </w:p>
    <w:p w14:paraId="708CE612" w14:textId="0162B245" w:rsidR="00851F51" w:rsidRPr="006352F3" w:rsidRDefault="00F6003B" w:rsidP="00C3530A">
      <w:pPr>
        <w:pStyle w:val="Heading1"/>
        <w:spacing w:line="240" w:lineRule="auto"/>
        <w:rPr>
          <w:b/>
          <w:color w:val="1F4E79" w:themeColor="accent1" w:themeShade="80"/>
        </w:rPr>
      </w:pPr>
      <w:bookmarkStart w:id="10" w:name="_Toc20813176"/>
      <w:r w:rsidRPr="006352F3">
        <w:rPr>
          <w:b/>
          <w:color w:val="1F4E79" w:themeColor="accent1" w:themeShade="80"/>
        </w:rPr>
        <w:lastRenderedPageBreak/>
        <w:t>O</w:t>
      </w:r>
      <w:r w:rsidR="00851F51" w:rsidRPr="006352F3">
        <w:rPr>
          <w:b/>
          <w:color w:val="1F4E79" w:themeColor="accent1" w:themeShade="80"/>
        </w:rPr>
        <w:t>verview</w:t>
      </w:r>
      <w:bookmarkEnd w:id="8"/>
      <w:bookmarkEnd w:id="10"/>
    </w:p>
    <w:p w14:paraId="6863398C" w14:textId="1A268799" w:rsidR="00851F51" w:rsidRDefault="00851F51" w:rsidP="008952D0">
      <w:pPr>
        <w:spacing w:line="240" w:lineRule="auto"/>
        <w:rPr>
          <w:rFonts w:cs="Arial"/>
        </w:rPr>
      </w:pPr>
      <w:r>
        <w:rPr>
          <w:rFonts w:cs="Arial"/>
        </w:rPr>
        <w:t>NOPTA is please</w:t>
      </w:r>
      <w:r w:rsidR="00347EA5">
        <w:rPr>
          <w:rFonts w:cs="Arial"/>
        </w:rPr>
        <w:t>d</w:t>
      </w:r>
      <w:r>
        <w:rPr>
          <w:rFonts w:cs="Arial"/>
        </w:rPr>
        <w:t xml:space="preserve"> to present its </w:t>
      </w:r>
      <w:r w:rsidR="00B72F9F">
        <w:rPr>
          <w:rFonts w:cs="Arial"/>
        </w:rPr>
        <w:t>fourth</w:t>
      </w:r>
      <w:r w:rsidR="00CD6089">
        <w:rPr>
          <w:rFonts w:cs="Arial"/>
        </w:rPr>
        <w:t xml:space="preserve"> </w:t>
      </w:r>
      <w:r>
        <w:rPr>
          <w:rFonts w:cs="Arial"/>
        </w:rPr>
        <w:t xml:space="preserve">self-assessment against the Regulator Performance Framework (RPF). Previous self-assessments, as well as further background on NOPTA and the RPF, </w:t>
      </w:r>
      <w:r w:rsidR="00837BDE">
        <w:rPr>
          <w:rFonts w:cs="Arial"/>
        </w:rPr>
        <w:t xml:space="preserve">can be found on the </w:t>
      </w:r>
      <w:hyperlink r:id="rId19" w:history="1">
        <w:r w:rsidR="00837BDE" w:rsidRPr="00E06226">
          <w:rPr>
            <w:rStyle w:val="Hyperlink"/>
            <w:rFonts w:cs="Arial"/>
          </w:rPr>
          <w:t>NOPTA website</w:t>
        </w:r>
      </w:hyperlink>
      <w:r>
        <w:rPr>
          <w:rFonts w:cs="Arial"/>
        </w:rPr>
        <w:t>.</w:t>
      </w:r>
    </w:p>
    <w:p w14:paraId="41A39730" w14:textId="4127ED36" w:rsidR="00347EA5" w:rsidRDefault="001A4614" w:rsidP="008952D0">
      <w:pPr>
        <w:spacing w:line="240" w:lineRule="auto"/>
        <w:rPr>
          <w:rFonts w:cs="Arial"/>
        </w:rPr>
      </w:pPr>
      <w:r>
        <w:rPr>
          <w:rFonts w:cs="Arial"/>
        </w:rPr>
        <w:t>NOPTA</w:t>
      </w:r>
      <w:r w:rsidR="00EE4D75">
        <w:rPr>
          <w:rFonts w:cs="Arial"/>
        </w:rPr>
        <w:t xml:space="preserve"> has assessed that the</w:t>
      </w:r>
      <w:r w:rsidR="00851F51">
        <w:rPr>
          <w:rFonts w:cs="Arial"/>
        </w:rPr>
        <w:t xml:space="preserve"> six Key</w:t>
      </w:r>
      <w:r w:rsidR="00765785">
        <w:rPr>
          <w:rFonts w:cs="Arial"/>
        </w:rPr>
        <w:t xml:space="preserve"> Performance Indicators (KPIs)</w:t>
      </w:r>
      <w:r w:rsidR="00EE4A93">
        <w:rPr>
          <w:rFonts w:cs="Arial"/>
        </w:rPr>
        <w:t xml:space="preserve"> of the RPF</w:t>
      </w:r>
      <w:r w:rsidR="00EE4D75">
        <w:rPr>
          <w:rFonts w:cs="Arial"/>
        </w:rPr>
        <w:t xml:space="preserve"> were met</w:t>
      </w:r>
      <w:r w:rsidR="00765785">
        <w:rPr>
          <w:rFonts w:cs="Arial"/>
        </w:rPr>
        <w:t>.</w:t>
      </w:r>
    </w:p>
    <w:p w14:paraId="3BEBD26C" w14:textId="00A68528" w:rsidR="00851F51" w:rsidRDefault="00EC2ECC" w:rsidP="008952D0">
      <w:pPr>
        <w:spacing w:line="240" w:lineRule="auto"/>
      </w:pPr>
      <w:r>
        <w:rPr>
          <w:rFonts w:cs="Arial"/>
        </w:rPr>
        <w:t>NOPTA</w:t>
      </w:r>
      <w:r w:rsidR="00851F51" w:rsidRPr="00A143F3">
        <w:t xml:space="preserve"> </w:t>
      </w:r>
      <w:r w:rsidR="00BE72BD">
        <w:t>is</w:t>
      </w:r>
      <w:r w:rsidR="00490A08">
        <w:t xml:space="preserve"> </w:t>
      </w:r>
      <w:r w:rsidR="00E06226">
        <w:t xml:space="preserve">committed to continuous improvement and is </w:t>
      </w:r>
      <w:r w:rsidR="00BE72BD">
        <w:t>a strong advocate of</w:t>
      </w:r>
      <w:r w:rsidR="00851F51" w:rsidRPr="00A143F3">
        <w:t xml:space="preserve"> reducing regulatory burden on industry</w:t>
      </w:r>
      <w:r w:rsidR="003A2C02">
        <w:t>,</w:t>
      </w:r>
      <w:r w:rsidR="00851F51" w:rsidRPr="00A143F3">
        <w:t xml:space="preserve"> without adverse</w:t>
      </w:r>
      <w:r w:rsidR="00BE72BD">
        <w:t>ly</w:t>
      </w:r>
      <w:r w:rsidR="00851F51" w:rsidRPr="00A143F3">
        <w:t xml:space="preserve"> impact</w:t>
      </w:r>
      <w:r w:rsidR="00BE72BD">
        <w:t>ing</w:t>
      </w:r>
      <w:r w:rsidR="00851F51" w:rsidRPr="00A143F3">
        <w:t xml:space="preserve"> outcomes. </w:t>
      </w:r>
      <w:r w:rsidR="00BE72BD">
        <w:t>As such</w:t>
      </w:r>
      <w:r w:rsidR="00851F51">
        <w:t>,</w:t>
      </w:r>
      <w:r w:rsidR="00851F51" w:rsidRPr="00A143F3">
        <w:t xml:space="preserve"> </w:t>
      </w:r>
      <w:r w:rsidR="00851F51">
        <w:t>NOPT</w:t>
      </w:r>
      <w:r w:rsidR="00851F51" w:rsidRPr="00A143F3">
        <w:t>A</w:t>
      </w:r>
      <w:r w:rsidR="00666C72">
        <w:t xml:space="preserve"> has aligned its</w:t>
      </w:r>
      <w:r w:rsidR="00851F51" w:rsidRPr="00A143F3">
        <w:t xml:space="preserve"> </w:t>
      </w:r>
      <w:hyperlink r:id="rId20" w:history="1">
        <w:r w:rsidR="00666C72" w:rsidRPr="00E06226">
          <w:rPr>
            <w:rStyle w:val="Hyperlink"/>
          </w:rPr>
          <w:t xml:space="preserve">2017-2020 </w:t>
        </w:r>
        <w:r w:rsidR="00851F51" w:rsidRPr="00E06226">
          <w:rPr>
            <w:rStyle w:val="Hyperlink"/>
          </w:rPr>
          <w:t>Corporate Plan</w:t>
        </w:r>
      </w:hyperlink>
      <w:r w:rsidR="00851F51" w:rsidRPr="00A143F3">
        <w:t xml:space="preserve"> </w:t>
      </w:r>
      <w:r w:rsidR="00E06226">
        <w:t xml:space="preserve">and related strategic planning </w:t>
      </w:r>
      <w:r w:rsidR="00851F51" w:rsidRPr="00A143F3">
        <w:t xml:space="preserve">with the KPIs of the </w:t>
      </w:r>
      <w:r>
        <w:t>RPF</w:t>
      </w:r>
      <w:r w:rsidR="00851F51" w:rsidRPr="00A143F3">
        <w:t xml:space="preserve">. </w:t>
      </w:r>
      <w:r w:rsidR="00851F51">
        <w:t>This</w:t>
      </w:r>
      <w:r w:rsidR="00851F51" w:rsidRPr="00A143F3">
        <w:t xml:space="preserve"> enable</w:t>
      </w:r>
      <w:r>
        <w:t>s</w:t>
      </w:r>
      <w:r w:rsidR="00851F51" w:rsidRPr="00A143F3">
        <w:t xml:space="preserve"> clear and consistent </w:t>
      </w:r>
      <w:r w:rsidR="00BE72BD">
        <w:t xml:space="preserve">annual </w:t>
      </w:r>
      <w:r w:rsidR="00851F51" w:rsidRPr="00A143F3">
        <w:t>report</w:t>
      </w:r>
      <w:r w:rsidR="00851F51">
        <w:t>ing</w:t>
      </w:r>
      <w:r w:rsidR="00851F51" w:rsidRPr="00A143F3">
        <w:t xml:space="preserve"> on </w:t>
      </w:r>
      <w:r>
        <w:t>NOPTA’s</w:t>
      </w:r>
      <w:r w:rsidR="00851F51" w:rsidRPr="00A143F3">
        <w:t xml:space="preserve"> performance </w:t>
      </w:r>
      <w:r w:rsidR="00E06226">
        <w:t xml:space="preserve">which aids </w:t>
      </w:r>
      <w:r w:rsidR="00666C72">
        <w:t>transparency and</w:t>
      </w:r>
      <w:r w:rsidR="00851F51" w:rsidRPr="00A143F3">
        <w:t xml:space="preserve"> accountability to</w:t>
      </w:r>
      <w:r w:rsidR="00E06226">
        <w:t xml:space="preserve"> our</w:t>
      </w:r>
      <w:r w:rsidR="00851F51" w:rsidRPr="00A143F3">
        <w:t xml:space="preserve"> stakeholders. </w:t>
      </w:r>
    </w:p>
    <w:p w14:paraId="279DBC50" w14:textId="41428E57" w:rsidR="00E52D36" w:rsidRDefault="00E52D36" w:rsidP="008952D0">
      <w:pPr>
        <w:spacing w:after="0" w:line="240" w:lineRule="auto"/>
        <w:rPr>
          <w:rFonts w:cs="Arial"/>
        </w:rPr>
      </w:pPr>
      <w:r>
        <w:rPr>
          <w:rFonts w:cs="Arial"/>
        </w:rPr>
        <w:t>In 2018-19 NOPTA delivered key outcomes focused on supporting the effective regulation of Australia’s offshore oil and gas regime, this included the implementation of an ambit</w:t>
      </w:r>
      <w:r w:rsidR="005B2A30">
        <w:rPr>
          <w:rFonts w:cs="Arial"/>
        </w:rPr>
        <w:t>ious</w:t>
      </w:r>
      <w:r>
        <w:rPr>
          <w:rFonts w:cs="Arial"/>
        </w:rPr>
        <w:t xml:space="preserve"> </w:t>
      </w:r>
      <w:r w:rsidR="005B2A30">
        <w:rPr>
          <w:rFonts w:cs="Arial"/>
        </w:rPr>
        <w:t>internal structural and administrative review process</w:t>
      </w:r>
      <w:r>
        <w:rPr>
          <w:rFonts w:cs="Arial"/>
        </w:rPr>
        <w:t xml:space="preserve"> to ensure we </w:t>
      </w:r>
      <w:r w:rsidR="005B2A30">
        <w:rPr>
          <w:rFonts w:cs="Arial"/>
        </w:rPr>
        <w:t xml:space="preserve">remain agile and </w:t>
      </w:r>
      <w:r>
        <w:rPr>
          <w:rFonts w:cs="Arial"/>
        </w:rPr>
        <w:t>well position</w:t>
      </w:r>
      <w:r w:rsidR="008D1C29">
        <w:rPr>
          <w:rFonts w:cs="Arial"/>
        </w:rPr>
        <w:t>ed to meet future challenges. Key achievements over this time included:</w:t>
      </w:r>
    </w:p>
    <w:p w14:paraId="64FCB39B" w14:textId="7FA66006" w:rsidR="008F3B61" w:rsidRPr="008F3B61" w:rsidRDefault="008F3B61" w:rsidP="008952D0">
      <w:pPr>
        <w:pStyle w:val="ListParagraph"/>
        <w:numPr>
          <w:ilvl w:val="0"/>
          <w:numId w:val="29"/>
        </w:numPr>
        <w:spacing w:before="0" w:after="120"/>
        <w:ind w:left="426" w:hanging="426"/>
        <w:contextualSpacing w:val="0"/>
        <w:rPr>
          <w:rFonts w:asciiTheme="minorHAnsi" w:hAnsiTheme="minorHAnsi"/>
          <w:bCs/>
          <w:color w:val="auto"/>
          <w:sz w:val="22"/>
          <w:szCs w:val="22"/>
        </w:rPr>
      </w:pPr>
      <w:r w:rsidRPr="008F3B61">
        <w:rPr>
          <w:rFonts w:asciiTheme="minorHAnsi" w:hAnsiTheme="minorHAnsi"/>
          <w:bCs/>
          <w:color w:val="auto"/>
          <w:sz w:val="22"/>
          <w:szCs w:val="22"/>
        </w:rPr>
        <w:t xml:space="preserve">completed the transition of </w:t>
      </w:r>
      <w:r>
        <w:rPr>
          <w:rFonts w:asciiTheme="minorHAnsi" w:hAnsiTheme="minorHAnsi"/>
          <w:bCs/>
          <w:color w:val="auto"/>
          <w:sz w:val="22"/>
          <w:szCs w:val="22"/>
        </w:rPr>
        <w:t>our</w:t>
      </w:r>
      <w:r w:rsidRPr="008F3B61">
        <w:rPr>
          <w:rFonts w:asciiTheme="minorHAnsi" w:hAnsiTheme="minorHAnsi"/>
          <w:bCs/>
          <w:color w:val="auto"/>
          <w:sz w:val="22"/>
          <w:szCs w:val="22"/>
        </w:rPr>
        <w:t xml:space="preserve"> information and communications technology systems to an Azure cloud-based environment to meet ongoing business requirements and maintain secure, reliable and cost-effective systems</w:t>
      </w:r>
    </w:p>
    <w:p w14:paraId="4D832A6F" w14:textId="70355D08" w:rsidR="008F3B61" w:rsidRDefault="008F3B61" w:rsidP="008952D0">
      <w:pPr>
        <w:pStyle w:val="ListParagraph"/>
        <w:numPr>
          <w:ilvl w:val="0"/>
          <w:numId w:val="29"/>
        </w:numPr>
        <w:spacing w:before="0" w:after="120"/>
        <w:ind w:left="426" w:hanging="426"/>
        <w:contextualSpacing w:val="0"/>
        <w:rPr>
          <w:rFonts w:asciiTheme="minorHAnsi" w:hAnsiTheme="minorHAnsi"/>
          <w:bCs/>
          <w:color w:val="auto"/>
          <w:sz w:val="22"/>
          <w:szCs w:val="22"/>
        </w:rPr>
      </w:pPr>
      <w:r w:rsidRPr="008F3B61">
        <w:rPr>
          <w:rFonts w:asciiTheme="minorHAnsi" w:hAnsiTheme="minorHAnsi"/>
          <w:bCs/>
          <w:color w:val="auto"/>
          <w:sz w:val="22"/>
          <w:szCs w:val="22"/>
        </w:rPr>
        <w:t>continued the integration of our internal databases and systems that are used to collect, aggregate, analyse and report data to improve monitoring of Australia’s offshore petroleum resources</w:t>
      </w:r>
    </w:p>
    <w:p w14:paraId="4A3EEF25" w14:textId="515714AB" w:rsidR="006D2B96" w:rsidRPr="008F3B61" w:rsidRDefault="006D2B96" w:rsidP="008952D0">
      <w:pPr>
        <w:pStyle w:val="ListParagraph"/>
        <w:numPr>
          <w:ilvl w:val="0"/>
          <w:numId w:val="29"/>
        </w:numPr>
        <w:spacing w:before="0" w:after="120"/>
        <w:ind w:left="426" w:hanging="426"/>
        <w:contextualSpacing w:val="0"/>
        <w:rPr>
          <w:rFonts w:asciiTheme="minorHAnsi" w:hAnsiTheme="minorHAnsi"/>
          <w:bCs/>
          <w:color w:val="auto"/>
          <w:sz w:val="22"/>
          <w:szCs w:val="22"/>
        </w:rPr>
      </w:pPr>
      <w:r w:rsidRPr="00224739">
        <w:rPr>
          <w:rFonts w:asciiTheme="minorHAnsi" w:hAnsiTheme="minorHAnsi"/>
          <w:bCs/>
          <w:color w:val="auto"/>
          <w:sz w:val="22"/>
          <w:szCs w:val="22"/>
        </w:rPr>
        <w:t>commenced a project to benchmark all well and survey data and samples submitted since 1 January 2016. The results will allow for the objective comparison of stakeholder submissions in terms</w:t>
      </w:r>
      <w:r w:rsidR="00A754D2">
        <w:rPr>
          <w:rFonts w:asciiTheme="minorHAnsi" w:hAnsiTheme="minorHAnsi"/>
          <w:bCs/>
          <w:color w:val="auto"/>
          <w:sz w:val="22"/>
          <w:szCs w:val="22"/>
        </w:rPr>
        <w:t xml:space="preserve"> of</w:t>
      </w:r>
      <w:r w:rsidRPr="00224739">
        <w:rPr>
          <w:rFonts w:asciiTheme="minorHAnsi" w:hAnsiTheme="minorHAnsi"/>
          <w:bCs/>
          <w:color w:val="auto"/>
          <w:sz w:val="22"/>
          <w:szCs w:val="22"/>
        </w:rPr>
        <w:t xml:space="preserve"> timeliness, completeness, </w:t>
      </w:r>
      <w:r w:rsidR="00A754D2">
        <w:rPr>
          <w:rFonts w:asciiTheme="minorHAnsi" w:hAnsiTheme="minorHAnsi"/>
          <w:bCs/>
          <w:color w:val="auto"/>
          <w:sz w:val="22"/>
          <w:szCs w:val="22"/>
        </w:rPr>
        <w:t xml:space="preserve">and </w:t>
      </w:r>
      <w:r w:rsidRPr="00224739">
        <w:rPr>
          <w:rFonts w:asciiTheme="minorHAnsi" w:hAnsiTheme="minorHAnsi"/>
          <w:bCs/>
          <w:color w:val="auto"/>
          <w:sz w:val="22"/>
          <w:szCs w:val="22"/>
        </w:rPr>
        <w:t>usability</w:t>
      </w:r>
      <w:r w:rsidR="00A754D2">
        <w:rPr>
          <w:rFonts w:asciiTheme="minorHAnsi" w:hAnsiTheme="minorHAnsi"/>
          <w:bCs/>
          <w:color w:val="auto"/>
          <w:sz w:val="22"/>
          <w:szCs w:val="22"/>
        </w:rPr>
        <w:t>. This process</w:t>
      </w:r>
      <w:r w:rsidRPr="00224739">
        <w:rPr>
          <w:rFonts w:asciiTheme="minorHAnsi" w:hAnsiTheme="minorHAnsi"/>
          <w:bCs/>
          <w:color w:val="auto"/>
          <w:sz w:val="22"/>
          <w:szCs w:val="22"/>
        </w:rPr>
        <w:t xml:space="preserve"> will inform regulatory development and future discussions with stakeholders on data submission issues</w:t>
      </w:r>
    </w:p>
    <w:p w14:paraId="3BFFB818" w14:textId="37745A8D" w:rsidR="008F3B61" w:rsidRPr="008F3B61" w:rsidRDefault="008F3B61" w:rsidP="008952D0">
      <w:pPr>
        <w:pStyle w:val="ListParagraph"/>
        <w:numPr>
          <w:ilvl w:val="0"/>
          <w:numId w:val="29"/>
        </w:numPr>
        <w:spacing w:before="0" w:after="120"/>
        <w:ind w:left="426" w:hanging="426"/>
        <w:contextualSpacing w:val="0"/>
        <w:rPr>
          <w:rFonts w:asciiTheme="minorHAnsi" w:hAnsiTheme="minorHAnsi"/>
          <w:bCs/>
          <w:color w:val="auto"/>
          <w:sz w:val="22"/>
          <w:szCs w:val="22"/>
        </w:rPr>
      </w:pPr>
      <w:r w:rsidRPr="008F3B61">
        <w:rPr>
          <w:rFonts w:asciiTheme="minorHAnsi" w:hAnsiTheme="minorHAnsi"/>
          <w:bCs/>
          <w:color w:val="auto"/>
          <w:sz w:val="22"/>
          <w:szCs w:val="22"/>
        </w:rPr>
        <w:t xml:space="preserve">worked closely with the National Offshore Petroleum Safety and Environmental Management Authority (NOPSEMA) to improve information-sharing arrangements in relation to decommissioning to better inform titles-related decisions under the </w:t>
      </w:r>
      <w:r w:rsidRPr="008952D0">
        <w:rPr>
          <w:rFonts w:asciiTheme="minorHAnsi" w:hAnsiTheme="minorHAnsi"/>
          <w:bCs/>
          <w:i/>
          <w:iCs/>
          <w:color w:val="auto"/>
          <w:sz w:val="22"/>
          <w:szCs w:val="22"/>
        </w:rPr>
        <w:t>Offshore Petroleum and Greenhouse Gas Storage Act 2006</w:t>
      </w:r>
      <w:r w:rsidR="008952D0">
        <w:rPr>
          <w:rFonts w:asciiTheme="minorHAnsi" w:hAnsiTheme="minorHAnsi"/>
          <w:bCs/>
          <w:color w:val="auto"/>
          <w:sz w:val="22"/>
          <w:szCs w:val="22"/>
        </w:rPr>
        <w:t xml:space="preserve"> (OPGGS Act)</w:t>
      </w:r>
    </w:p>
    <w:p w14:paraId="49CF4304" w14:textId="45EA31DC" w:rsidR="008F3B61" w:rsidRDefault="008F3B61" w:rsidP="008952D0">
      <w:pPr>
        <w:pStyle w:val="ListParagraph"/>
        <w:numPr>
          <w:ilvl w:val="0"/>
          <w:numId w:val="29"/>
        </w:numPr>
        <w:spacing w:before="0" w:after="120"/>
        <w:ind w:left="426" w:hanging="426"/>
        <w:contextualSpacing w:val="0"/>
        <w:rPr>
          <w:rFonts w:asciiTheme="minorHAnsi" w:hAnsiTheme="minorHAnsi"/>
          <w:bCs/>
          <w:color w:val="auto"/>
          <w:sz w:val="22"/>
          <w:szCs w:val="22"/>
        </w:rPr>
      </w:pPr>
      <w:r w:rsidRPr="008F3B61">
        <w:rPr>
          <w:rFonts w:asciiTheme="minorHAnsi" w:hAnsiTheme="minorHAnsi"/>
          <w:bCs/>
          <w:color w:val="auto"/>
          <w:sz w:val="22"/>
          <w:szCs w:val="22"/>
        </w:rPr>
        <w:t>undertook a skills exchange with United Kingdom and Norwegian petroleum regulators focussed on best practice and innovation in resource management and data management</w:t>
      </w:r>
    </w:p>
    <w:p w14:paraId="6DF28B4C" w14:textId="699D45DE" w:rsidR="005B2A30" w:rsidRPr="008F3B61" w:rsidRDefault="005B2A30" w:rsidP="008952D0">
      <w:pPr>
        <w:pStyle w:val="ListParagraph"/>
        <w:numPr>
          <w:ilvl w:val="0"/>
          <w:numId w:val="29"/>
        </w:numPr>
        <w:spacing w:before="0" w:after="120"/>
        <w:ind w:left="426" w:hanging="426"/>
        <w:contextualSpacing w:val="0"/>
        <w:rPr>
          <w:rFonts w:asciiTheme="minorHAnsi" w:hAnsiTheme="minorHAnsi"/>
          <w:bCs/>
          <w:color w:val="auto"/>
          <w:sz w:val="22"/>
          <w:szCs w:val="22"/>
        </w:rPr>
      </w:pPr>
      <w:r w:rsidRPr="000743C1">
        <w:rPr>
          <w:rFonts w:asciiTheme="minorHAnsi" w:hAnsiTheme="minorHAnsi"/>
          <w:bCs/>
          <w:color w:val="auto"/>
          <w:sz w:val="22"/>
          <w:szCs w:val="22"/>
        </w:rPr>
        <w:t>promotion of a flexible approach to our working arrangements to ensure a productive and responsive workplace</w:t>
      </w:r>
      <w:r>
        <w:rPr>
          <w:rFonts w:asciiTheme="minorHAnsi" w:hAnsiTheme="minorHAnsi"/>
          <w:bCs/>
          <w:color w:val="auto"/>
          <w:sz w:val="22"/>
          <w:szCs w:val="22"/>
        </w:rPr>
        <w:t>.</w:t>
      </w:r>
    </w:p>
    <w:p w14:paraId="592D6EE0" w14:textId="047361F7" w:rsidR="00FF45FC" w:rsidRPr="0071419F" w:rsidRDefault="00B72F9F" w:rsidP="008952D0">
      <w:pPr>
        <w:spacing w:line="240" w:lineRule="auto"/>
        <w:rPr>
          <w:rFonts w:cs="Arial"/>
        </w:rPr>
      </w:pPr>
      <w:r w:rsidRPr="0071419F">
        <w:rPr>
          <w:rFonts w:cs="Arial"/>
        </w:rPr>
        <w:t xml:space="preserve">In May 2019, </w:t>
      </w:r>
      <w:r w:rsidR="00851F51" w:rsidRPr="0071419F">
        <w:rPr>
          <w:rFonts w:cs="Arial"/>
        </w:rPr>
        <w:t xml:space="preserve">NOPTA </w:t>
      </w:r>
      <w:r w:rsidR="00EC2ECC" w:rsidRPr="0071419F">
        <w:rPr>
          <w:rFonts w:cs="Arial"/>
        </w:rPr>
        <w:t>conduct</w:t>
      </w:r>
      <w:r w:rsidRPr="0071419F">
        <w:rPr>
          <w:rFonts w:cs="Arial"/>
        </w:rPr>
        <w:t>ed</w:t>
      </w:r>
      <w:r w:rsidR="00EC2ECC" w:rsidRPr="0071419F">
        <w:rPr>
          <w:rFonts w:cs="Arial"/>
        </w:rPr>
        <w:t xml:space="preserve"> </w:t>
      </w:r>
      <w:r w:rsidRPr="0071419F">
        <w:rPr>
          <w:rFonts w:cs="Arial"/>
        </w:rPr>
        <w:t xml:space="preserve">its fourth comprehensive </w:t>
      </w:r>
      <w:hyperlink r:id="rId21" w:history="1">
        <w:r w:rsidR="00851F51" w:rsidRPr="00E06226">
          <w:rPr>
            <w:rStyle w:val="Hyperlink"/>
            <w:rFonts w:cs="Arial"/>
          </w:rPr>
          <w:t>stakeholder survey</w:t>
        </w:r>
      </w:hyperlink>
      <w:r w:rsidR="0018098E">
        <w:rPr>
          <w:rStyle w:val="FootnoteReference"/>
          <w:rFonts w:cs="Arial"/>
        </w:rPr>
        <w:footnoteReference w:id="1"/>
      </w:r>
      <w:r w:rsidR="00851F51" w:rsidRPr="0071419F">
        <w:rPr>
          <w:rFonts w:cs="Arial"/>
        </w:rPr>
        <w:t xml:space="preserve">. </w:t>
      </w:r>
      <w:r w:rsidR="00EE4A93" w:rsidRPr="0071419F">
        <w:rPr>
          <w:rFonts w:cs="Arial"/>
        </w:rPr>
        <w:t xml:space="preserve">Compared to the </w:t>
      </w:r>
      <w:r w:rsidR="00EE4A93">
        <w:rPr>
          <w:rFonts w:cs="Arial"/>
        </w:rPr>
        <w:t>previous</w:t>
      </w:r>
      <w:r w:rsidR="00EE4A93" w:rsidRPr="0071419F">
        <w:rPr>
          <w:rFonts w:cs="Arial"/>
        </w:rPr>
        <w:t xml:space="preserve"> surveys</w:t>
      </w:r>
      <w:r w:rsidR="00EE4A93" w:rsidRPr="00F52C9D">
        <w:rPr>
          <w:rFonts w:cs="Arial"/>
        </w:rPr>
        <w:t>, the 2019 survey had the largest number of respondents which in</w:t>
      </w:r>
      <w:r w:rsidR="00EE4A93" w:rsidRPr="009D5FB8">
        <w:rPr>
          <w:rFonts w:cs="Arial"/>
        </w:rPr>
        <w:t xml:space="preserve">cluded </w:t>
      </w:r>
      <w:r w:rsidR="00E06226">
        <w:rPr>
          <w:rFonts w:cs="Arial"/>
        </w:rPr>
        <w:t>titleholders</w:t>
      </w:r>
      <w:r w:rsidR="00EE4A93" w:rsidRPr="009D5FB8">
        <w:rPr>
          <w:rFonts w:cs="Arial"/>
        </w:rPr>
        <w:t>, industry groups and government stakeholders.</w:t>
      </w:r>
      <w:r w:rsidR="00EE4A93">
        <w:rPr>
          <w:rFonts w:cs="Arial"/>
        </w:rPr>
        <w:t xml:space="preserve"> </w:t>
      </w:r>
      <w:r w:rsidR="00933FB2">
        <w:rPr>
          <w:rFonts w:cs="Arial"/>
        </w:rPr>
        <w:t xml:space="preserve">As with previous years, stakeholders reported high overall levels of satisfaction across the domains of communication, data and reporting, title application processes and NOPTA's function and regulatory role. </w:t>
      </w:r>
    </w:p>
    <w:p w14:paraId="04362D42" w14:textId="17A516C0" w:rsidR="00851F51" w:rsidRDefault="00933FB2" w:rsidP="008952D0">
      <w:pPr>
        <w:spacing w:after="0" w:line="240" w:lineRule="auto"/>
        <w:rPr>
          <w:rFonts w:cs="Arial"/>
        </w:rPr>
      </w:pPr>
      <w:r>
        <w:t xml:space="preserve">Key survey outcomes </w:t>
      </w:r>
      <w:r w:rsidR="00EE4A93">
        <w:rPr>
          <w:rFonts w:cs="Arial"/>
        </w:rPr>
        <w:t>relevant to</w:t>
      </w:r>
      <w:r w:rsidR="00851F51">
        <w:rPr>
          <w:rFonts w:cs="Arial"/>
        </w:rPr>
        <w:t xml:space="preserve"> </w:t>
      </w:r>
      <w:r w:rsidR="00EE4A93">
        <w:rPr>
          <w:rFonts w:cs="Arial"/>
        </w:rPr>
        <w:t xml:space="preserve">the </w:t>
      </w:r>
      <w:r w:rsidR="00E06226">
        <w:rPr>
          <w:rFonts w:cs="Arial"/>
        </w:rPr>
        <w:t>six</w:t>
      </w:r>
      <w:r w:rsidR="00EE4A93">
        <w:rPr>
          <w:rFonts w:cs="Arial"/>
        </w:rPr>
        <w:t xml:space="preserve"> </w:t>
      </w:r>
      <w:r w:rsidR="00851F51">
        <w:rPr>
          <w:rFonts w:cs="Arial"/>
        </w:rPr>
        <w:t>KPIs for 201</w:t>
      </w:r>
      <w:r w:rsidR="0071419F">
        <w:rPr>
          <w:rFonts w:cs="Arial"/>
        </w:rPr>
        <w:t>8</w:t>
      </w:r>
      <w:r w:rsidR="00851F51">
        <w:rPr>
          <w:rFonts w:cs="Arial"/>
        </w:rPr>
        <w:t>-1</w:t>
      </w:r>
      <w:r w:rsidR="0071419F">
        <w:rPr>
          <w:rFonts w:cs="Arial"/>
        </w:rPr>
        <w:t>9</w:t>
      </w:r>
      <w:r w:rsidR="00851F51">
        <w:rPr>
          <w:rFonts w:cs="Arial"/>
        </w:rPr>
        <w:t xml:space="preserve"> include:</w:t>
      </w:r>
    </w:p>
    <w:p w14:paraId="5E222BC2" w14:textId="6507E39F" w:rsidR="00F52C9D" w:rsidRPr="00DD1078" w:rsidRDefault="00EA0ED2" w:rsidP="008952D0">
      <w:pPr>
        <w:pStyle w:val="ListParagraph"/>
        <w:numPr>
          <w:ilvl w:val="0"/>
          <w:numId w:val="29"/>
        </w:numPr>
        <w:spacing w:before="0" w:after="120"/>
        <w:ind w:left="426" w:hanging="426"/>
        <w:contextualSpacing w:val="0"/>
        <w:rPr>
          <w:rFonts w:asciiTheme="minorHAnsi" w:hAnsiTheme="minorHAnsi"/>
          <w:color w:val="auto"/>
          <w:sz w:val="22"/>
          <w:szCs w:val="22"/>
        </w:rPr>
      </w:pPr>
      <w:r w:rsidRPr="006352F3">
        <w:rPr>
          <w:rFonts w:asciiTheme="minorHAnsi" w:hAnsiTheme="minorHAnsi"/>
          <w:b/>
          <w:color w:val="auto"/>
          <w:sz w:val="22"/>
          <w:szCs w:val="22"/>
        </w:rPr>
        <w:t>KP</w:t>
      </w:r>
      <w:r w:rsidR="003B00C4" w:rsidRPr="006352F3">
        <w:rPr>
          <w:rFonts w:asciiTheme="minorHAnsi" w:hAnsiTheme="minorHAnsi"/>
          <w:b/>
          <w:color w:val="auto"/>
          <w:sz w:val="22"/>
          <w:szCs w:val="22"/>
        </w:rPr>
        <w:t xml:space="preserve">I </w:t>
      </w:r>
      <w:r w:rsidRPr="006352F3">
        <w:rPr>
          <w:rFonts w:asciiTheme="minorHAnsi" w:hAnsiTheme="minorHAnsi"/>
          <w:b/>
          <w:color w:val="auto"/>
          <w:sz w:val="22"/>
          <w:szCs w:val="22"/>
        </w:rPr>
        <w:t>1:</w:t>
      </w:r>
      <w:r>
        <w:rPr>
          <w:rFonts w:asciiTheme="minorHAnsi" w:hAnsiTheme="minorHAnsi"/>
          <w:color w:val="auto"/>
          <w:sz w:val="22"/>
          <w:szCs w:val="22"/>
        </w:rPr>
        <w:t xml:space="preserve"> </w:t>
      </w:r>
      <w:r w:rsidR="00F52C9D" w:rsidRPr="00DD1078">
        <w:rPr>
          <w:rFonts w:asciiTheme="minorHAnsi" w:hAnsiTheme="minorHAnsi"/>
          <w:color w:val="auto"/>
          <w:sz w:val="22"/>
          <w:szCs w:val="22"/>
        </w:rPr>
        <w:t xml:space="preserve">98 per cent </w:t>
      </w:r>
      <w:r w:rsidR="00BF26F7">
        <w:rPr>
          <w:rFonts w:asciiTheme="minorHAnsi" w:hAnsiTheme="minorHAnsi"/>
          <w:color w:val="auto"/>
          <w:sz w:val="22"/>
          <w:szCs w:val="22"/>
        </w:rPr>
        <w:t xml:space="preserve">of </w:t>
      </w:r>
      <w:r w:rsidR="00F52C9D" w:rsidRPr="00DD1078">
        <w:rPr>
          <w:rFonts w:asciiTheme="minorHAnsi" w:hAnsiTheme="minorHAnsi"/>
          <w:color w:val="auto"/>
          <w:sz w:val="22"/>
          <w:szCs w:val="22"/>
        </w:rPr>
        <w:t xml:space="preserve">respondents to the survey considered that NOPTA makes a valuable contribution to the process of managing Australia’s resources, with almost two-thirds of respondents considering this was true to a great extent. </w:t>
      </w:r>
    </w:p>
    <w:p w14:paraId="0D65A690" w14:textId="0AA8EF1B" w:rsidR="002023CB" w:rsidRPr="002023CB" w:rsidRDefault="00EA0ED2" w:rsidP="008952D0">
      <w:pPr>
        <w:pStyle w:val="ListParagraph"/>
        <w:numPr>
          <w:ilvl w:val="0"/>
          <w:numId w:val="29"/>
        </w:numPr>
        <w:spacing w:before="0" w:after="120"/>
        <w:ind w:left="426" w:hanging="426"/>
        <w:contextualSpacing w:val="0"/>
        <w:rPr>
          <w:rFonts w:asciiTheme="minorHAnsi" w:hAnsiTheme="minorHAnsi"/>
          <w:color w:val="auto"/>
          <w:sz w:val="22"/>
          <w:szCs w:val="22"/>
        </w:rPr>
      </w:pPr>
      <w:r w:rsidRPr="006352F3">
        <w:rPr>
          <w:rFonts w:asciiTheme="minorHAnsi" w:hAnsiTheme="minorHAnsi"/>
          <w:b/>
          <w:color w:val="auto"/>
          <w:sz w:val="22"/>
          <w:szCs w:val="22"/>
        </w:rPr>
        <w:t>KPI</w:t>
      </w:r>
      <w:r w:rsidR="004C538B" w:rsidRPr="006352F3">
        <w:rPr>
          <w:rFonts w:asciiTheme="minorHAnsi" w:hAnsiTheme="minorHAnsi"/>
          <w:b/>
          <w:color w:val="auto"/>
          <w:sz w:val="22"/>
          <w:szCs w:val="22"/>
        </w:rPr>
        <w:t xml:space="preserve"> </w:t>
      </w:r>
      <w:r w:rsidRPr="006352F3">
        <w:rPr>
          <w:rFonts w:asciiTheme="minorHAnsi" w:hAnsiTheme="minorHAnsi"/>
          <w:b/>
          <w:color w:val="auto"/>
          <w:sz w:val="22"/>
          <w:szCs w:val="22"/>
        </w:rPr>
        <w:t>2:</w:t>
      </w:r>
      <w:r w:rsidRPr="002023CB">
        <w:rPr>
          <w:rFonts w:asciiTheme="minorHAnsi" w:hAnsiTheme="minorHAnsi"/>
          <w:color w:val="auto"/>
          <w:sz w:val="22"/>
          <w:szCs w:val="22"/>
        </w:rPr>
        <w:t xml:space="preserve"> </w:t>
      </w:r>
      <w:r w:rsidR="00426D26">
        <w:rPr>
          <w:rFonts w:asciiTheme="minorHAnsi" w:hAnsiTheme="minorHAnsi"/>
          <w:color w:val="auto"/>
          <w:sz w:val="22"/>
          <w:szCs w:val="22"/>
        </w:rPr>
        <w:t xml:space="preserve">80 per cent of </w:t>
      </w:r>
      <w:r w:rsidR="002023CB" w:rsidRPr="002023CB">
        <w:rPr>
          <w:rFonts w:asciiTheme="minorHAnsi" w:hAnsiTheme="minorHAnsi"/>
          <w:color w:val="auto"/>
          <w:sz w:val="22"/>
          <w:szCs w:val="22"/>
        </w:rPr>
        <w:t xml:space="preserve">respondents to the survey indicated that NOPTA maintains an appropriate profile with its stakeholders </w:t>
      </w:r>
      <w:proofErr w:type="gramStart"/>
      <w:r w:rsidR="002023CB" w:rsidRPr="002023CB">
        <w:rPr>
          <w:rFonts w:asciiTheme="minorHAnsi" w:hAnsiTheme="minorHAnsi"/>
          <w:color w:val="auto"/>
          <w:sz w:val="22"/>
          <w:szCs w:val="22"/>
        </w:rPr>
        <w:t>with regard to</w:t>
      </w:r>
      <w:proofErr w:type="gramEnd"/>
      <w:r w:rsidR="002023CB" w:rsidRPr="002023CB">
        <w:rPr>
          <w:rFonts w:asciiTheme="minorHAnsi" w:hAnsiTheme="minorHAnsi"/>
          <w:color w:val="auto"/>
          <w:sz w:val="22"/>
          <w:szCs w:val="22"/>
        </w:rPr>
        <w:t xml:space="preserve"> communicating and explaining its strategic direction, plans and outcomes to a ‘great</w:t>
      </w:r>
      <w:r w:rsidR="00E06226">
        <w:rPr>
          <w:rFonts w:asciiTheme="minorHAnsi" w:hAnsiTheme="minorHAnsi"/>
          <w:color w:val="auto"/>
          <w:sz w:val="22"/>
          <w:szCs w:val="22"/>
        </w:rPr>
        <w:t>’</w:t>
      </w:r>
      <w:r w:rsidR="002023CB" w:rsidRPr="002023CB">
        <w:rPr>
          <w:rFonts w:asciiTheme="minorHAnsi" w:hAnsiTheme="minorHAnsi"/>
          <w:color w:val="auto"/>
          <w:sz w:val="22"/>
          <w:szCs w:val="22"/>
        </w:rPr>
        <w:t xml:space="preserve"> or ‘some</w:t>
      </w:r>
      <w:r w:rsidR="00E06226">
        <w:rPr>
          <w:rFonts w:asciiTheme="minorHAnsi" w:hAnsiTheme="minorHAnsi"/>
          <w:color w:val="auto"/>
          <w:sz w:val="22"/>
          <w:szCs w:val="22"/>
        </w:rPr>
        <w:t>’</w:t>
      </w:r>
      <w:r w:rsidR="002023CB" w:rsidRPr="002023CB">
        <w:rPr>
          <w:rFonts w:asciiTheme="minorHAnsi" w:hAnsiTheme="minorHAnsi"/>
          <w:color w:val="auto"/>
          <w:sz w:val="22"/>
          <w:szCs w:val="22"/>
        </w:rPr>
        <w:t xml:space="preserve"> extent.</w:t>
      </w:r>
    </w:p>
    <w:p w14:paraId="7437B53F" w14:textId="522D9FF0" w:rsidR="00B1502C" w:rsidRPr="006352F3" w:rsidRDefault="002023CB" w:rsidP="008952D0">
      <w:pPr>
        <w:pStyle w:val="ListParagraph"/>
        <w:numPr>
          <w:ilvl w:val="0"/>
          <w:numId w:val="29"/>
        </w:numPr>
        <w:spacing w:before="0" w:after="120"/>
        <w:ind w:left="426" w:hanging="426"/>
        <w:contextualSpacing w:val="0"/>
        <w:rPr>
          <w:rFonts w:asciiTheme="minorHAnsi" w:hAnsiTheme="minorHAnsi"/>
          <w:color w:val="auto"/>
          <w:sz w:val="22"/>
          <w:szCs w:val="22"/>
        </w:rPr>
      </w:pPr>
      <w:r w:rsidRPr="006352F3">
        <w:rPr>
          <w:rFonts w:asciiTheme="minorHAnsi" w:hAnsiTheme="minorHAnsi"/>
          <w:b/>
          <w:color w:val="auto"/>
          <w:sz w:val="22"/>
          <w:szCs w:val="22"/>
        </w:rPr>
        <w:lastRenderedPageBreak/>
        <w:t xml:space="preserve">KPI 3: </w:t>
      </w:r>
      <w:r w:rsidR="00B1502C" w:rsidRPr="006352F3">
        <w:rPr>
          <w:rFonts w:asciiTheme="minorHAnsi" w:hAnsiTheme="minorHAnsi"/>
          <w:color w:val="auto"/>
          <w:sz w:val="22"/>
          <w:szCs w:val="22"/>
        </w:rPr>
        <w:t xml:space="preserve">98 per cent of respondents considered the time and effort they spend on compliance related tasks as reasonable given the regulatory </w:t>
      </w:r>
      <w:r w:rsidR="00B1502C" w:rsidRPr="00AB0D34">
        <w:rPr>
          <w:rFonts w:asciiTheme="minorHAnsi" w:hAnsiTheme="minorHAnsi"/>
          <w:color w:val="auto"/>
          <w:sz w:val="22"/>
          <w:szCs w:val="22"/>
        </w:rPr>
        <w:t xml:space="preserve">risk </w:t>
      </w:r>
      <w:r w:rsidR="00AB0D34" w:rsidRPr="00AB0D34">
        <w:rPr>
          <w:rFonts w:asciiTheme="minorHAnsi" w:hAnsiTheme="minorHAnsi"/>
          <w:color w:val="auto"/>
          <w:sz w:val="22"/>
          <w:szCs w:val="22"/>
        </w:rPr>
        <w:t xml:space="preserve">that </w:t>
      </w:r>
      <w:r w:rsidR="00B1502C" w:rsidRPr="00AB0D34">
        <w:rPr>
          <w:rFonts w:asciiTheme="minorHAnsi" w:hAnsiTheme="minorHAnsi"/>
          <w:color w:val="auto"/>
          <w:sz w:val="22"/>
          <w:szCs w:val="22"/>
        </w:rPr>
        <w:t>NOPTA manage</w:t>
      </w:r>
      <w:r w:rsidR="00AB0D34" w:rsidRPr="00AB0D34">
        <w:rPr>
          <w:rFonts w:asciiTheme="minorHAnsi" w:hAnsiTheme="minorHAnsi"/>
          <w:color w:val="auto"/>
          <w:sz w:val="22"/>
          <w:szCs w:val="22"/>
        </w:rPr>
        <w:t>s</w:t>
      </w:r>
      <w:r w:rsidR="00B1502C" w:rsidRPr="00AB0D34">
        <w:rPr>
          <w:rFonts w:asciiTheme="minorHAnsi" w:hAnsiTheme="minorHAnsi"/>
          <w:color w:val="auto"/>
          <w:sz w:val="22"/>
          <w:szCs w:val="22"/>
        </w:rPr>
        <w:t>.</w:t>
      </w:r>
    </w:p>
    <w:p w14:paraId="5220BC35" w14:textId="1C4309FF" w:rsidR="000518C5" w:rsidRPr="00B1502C" w:rsidRDefault="000518C5" w:rsidP="008952D0">
      <w:pPr>
        <w:pStyle w:val="ListParagraph"/>
        <w:numPr>
          <w:ilvl w:val="0"/>
          <w:numId w:val="29"/>
        </w:numPr>
        <w:spacing w:before="0" w:after="120"/>
        <w:ind w:left="426" w:hanging="426"/>
        <w:contextualSpacing w:val="0"/>
        <w:rPr>
          <w:rFonts w:asciiTheme="minorHAnsi" w:hAnsiTheme="minorHAnsi"/>
          <w:color w:val="auto"/>
          <w:sz w:val="22"/>
          <w:szCs w:val="22"/>
        </w:rPr>
      </w:pPr>
      <w:r w:rsidRPr="006352F3">
        <w:rPr>
          <w:rFonts w:asciiTheme="minorHAnsi" w:hAnsiTheme="minorHAnsi"/>
          <w:b/>
          <w:color w:val="auto"/>
          <w:sz w:val="22"/>
          <w:szCs w:val="22"/>
        </w:rPr>
        <w:t>KPI 4:</w:t>
      </w:r>
      <w:r w:rsidRPr="00B1502C">
        <w:rPr>
          <w:rFonts w:asciiTheme="minorHAnsi" w:hAnsiTheme="minorHAnsi"/>
          <w:color w:val="auto"/>
          <w:sz w:val="22"/>
          <w:szCs w:val="22"/>
        </w:rPr>
        <w:t xml:space="preserve"> </w:t>
      </w:r>
      <w:r w:rsidR="001C07E5">
        <w:rPr>
          <w:rFonts w:asciiTheme="minorHAnsi" w:hAnsiTheme="minorHAnsi"/>
          <w:color w:val="auto"/>
          <w:sz w:val="22"/>
          <w:szCs w:val="22"/>
        </w:rPr>
        <w:t>94 per cent of r</w:t>
      </w:r>
      <w:r w:rsidRPr="00B1502C">
        <w:rPr>
          <w:rFonts w:asciiTheme="minorHAnsi" w:hAnsiTheme="minorHAnsi"/>
          <w:color w:val="auto"/>
          <w:sz w:val="22"/>
          <w:szCs w:val="22"/>
        </w:rPr>
        <w:t xml:space="preserve">espondents </w:t>
      </w:r>
      <w:r w:rsidR="00931A58" w:rsidRPr="00B1502C">
        <w:rPr>
          <w:rFonts w:asciiTheme="minorHAnsi" w:hAnsiTheme="minorHAnsi"/>
          <w:color w:val="auto"/>
          <w:sz w:val="22"/>
          <w:szCs w:val="22"/>
        </w:rPr>
        <w:t xml:space="preserve">to the survey </w:t>
      </w:r>
      <w:r w:rsidRPr="00B1502C">
        <w:rPr>
          <w:rFonts w:asciiTheme="minorHAnsi" w:hAnsiTheme="minorHAnsi"/>
          <w:color w:val="auto"/>
          <w:sz w:val="22"/>
          <w:szCs w:val="22"/>
        </w:rPr>
        <w:t xml:space="preserve">agreed, to a </w:t>
      </w:r>
      <w:r w:rsidR="00B1502C">
        <w:rPr>
          <w:rFonts w:asciiTheme="minorHAnsi" w:hAnsiTheme="minorHAnsi"/>
          <w:color w:val="auto"/>
          <w:sz w:val="22"/>
          <w:szCs w:val="22"/>
        </w:rPr>
        <w:t>‘</w:t>
      </w:r>
      <w:r w:rsidRPr="00B1502C">
        <w:rPr>
          <w:rFonts w:asciiTheme="minorHAnsi" w:hAnsiTheme="minorHAnsi"/>
          <w:color w:val="auto"/>
          <w:sz w:val="22"/>
          <w:szCs w:val="22"/>
        </w:rPr>
        <w:t>great</w:t>
      </w:r>
      <w:r w:rsidR="00B1502C">
        <w:rPr>
          <w:rFonts w:asciiTheme="minorHAnsi" w:hAnsiTheme="minorHAnsi"/>
          <w:color w:val="auto"/>
          <w:sz w:val="22"/>
          <w:szCs w:val="22"/>
        </w:rPr>
        <w:t>’</w:t>
      </w:r>
      <w:r w:rsidRPr="00B1502C">
        <w:rPr>
          <w:rFonts w:asciiTheme="minorHAnsi" w:hAnsiTheme="minorHAnsi"/>
          <w:color w:val="auto"/>
          <w:sz w:val="22"/>
          <w:szCs w:val="22"/>
        </w:rPr>
        <w:t xml:space="preserve"> or </w:t>
      </w:r>
      <w:r w:rsidR="00931A58" w:rsidRPr="00B1502C">
        <w:rPr>
          <w:rFonts w:asciiTheme="minorHAnsi" w:hAnsiTheme="minorHAnsi"/>
          <w:color w:val="auto"/>
          <w:sz w:val="22"/>
          <w:szCs w:val="22"/>
        </w:rPr>
        <w:t>‘</w:t>
      </w:r>
      <w:r w:rsidRPr="00B1502C">
        <w:rPr>
          <w:rFonts w:asciiTheme="minorHAnsi" w:hAnsiTheme="minorHAnsi"/>
          <w:color w:val="auto"/>
          <w:sz w:val="22"/>
          <w:szCs w:val="22"/>
        </w:rPr>
        <w:t>some</w:t>
      </w:r>
      <w:r w:rsidR="00B1502C">
        <w:rPr>
          <w:rFonts w:asciiTheme="minorHAnsi" w:hAnsiTheme="minorHAnsi"/>
          <w:color w:val="auto"/>
          <w:sz w:val="22"/>
          <w:szCs w:val="22"/>
        </w:rPr>
        <w:t>’</w:t>
      </w:r>
      <w:r w:rsidRPr="00B1502C">
        <w:rPr>
          <w:rFonts w:asciiTheme="minorHAnsi" w:hAnsiTheme="minorHAnsi"/>
          <w:color w:val="auto"/>
          <w:sz w:val="22"/>
          <w:szCs w:val="22"/>
        </w:rPr>
        <w:t xml:space="preserve"> extent, that </w:t>
      </w:r>
      <w:r w:rsidR="00931A58" w:rsidRPr="00B1502C">
        <w:rPr>
          <w:rFonts w:asciiTheme="minorHAnsi" w:hAnsiTheme="minorHAnsi"/>
          <w:color w:val="auto"/>
          <w:sz w:val="22"/>
          <w:szCs w:val="22"/>
        </w:rPr>
        <w:t xml:space="preserve">NOPTA </w:t>
      </w:r>
      <w:r w:rsidRPr="00B1502C">
        <w:rPr>
          <w:rFonts w:asciiTheme="minorHAnsi" w:hAnsiTheme="minorHAnsi"/>
          <w:color w:val="auto"/>
          <w:sz w:val="22"/>
          <w:szCs w:val="22"/>
        </w:rPr>
        <w:t>requests</w:t>
      </w:r>
      <w:r w:rsidR="00931A58" w:rsidRPr="00B1502C">
        <w:rPr>
          <w:rFonts w:asciiTheme="minorHAnsi" w:hAnsiTheme="minorHAnsi"/>
          <w:color w:val="auto"/>
          <w:sz w:val="22"/>
          <w:szCs w:val="22"/>
        </w:rPr>
        <w:t xml:space="preserve"> for information</w:t>
      </w:r>
      <w:r w:rsidRPr="00B1502C">
        <w:rPr>
          <w:rFonts w:asciiTheme="minorHAnsi" w:hAnsiTheme="minorHAnsi"/>
          <w:color w:val="auto"/>
          <w:sz w:val="22"/>
          <w:szCs w:val="22"/>
        </w:rPr>
        <w:t xml:space="preserve"> were coordinated with other related requests, reasonable in terms of the effort required to address</w:t>
      </w:r>
      <w:r w:rsidR="00AB0D34">
        <w:rPr>
          <w:rFonts w:asciiTheme="minorHAnsi" w:hAnsiTheme="minorHAnsi"/>
          <w:color w:val="auto"/>
          <w:sz w:val="22"/>
          <w:szCs w:val="22"/>
        </w:rPr>
        <w:t xml:space="preserve"> the request</w:t>
      </w:r>
      <w:r w:rsidRPr="00B1502C">
        <w:rPr>
          <w:rFonts w:asciiTheme="minorHAnsi" w:hAnsiTheme="minorHAnsi"/>
          <w:color w:val="auto"/>
          <w:sz w:val="22"/>
          <w:szCs w:val="22"/>
        </w:rPr>
        <w:t xml:space="preserve"> (96 per cent)</w:t>
      </w:r>
      <w:r w:rsidR="00931A58" w:rsidRPr="00B1502C">
        <w:rPr>
          <w:rFonts w:asciiTheme="minorHAnsi" w:hAnsiTheme="minorHAnsi"/>
          <w:color w:val="auto"/>
          <w:sz w:val="22"/>
          <w:szCs w:val="22"/>
        </w:rPr>
        <w:t>,</w:t>
      </w:r>
      <w:r w:rsidRPr="00B1502C">
        <w:rPr>
          <w:rFonts w:asciiTheme="minorHAnsi" w:hAnsiTheme="minorHAnsi"/>
          <w:color w:val="auto"/>
          <w:sz w:val="22"/>
          <w:szCs w:val="22"/>
        </w:rPr>
        <w:t xml:space="preserve"> and clear in terms of the information required (93 per cent).</w:t>
      </w:r>
    </w:p>
    <w:p w14:paraId="1AB38CC5" w14:textId="6B8A2E8C" w:rsidR="00830B11" w:rsidRPr="00BB3347" w:rsidRDefault="00830B11" w:rsidP="008952D0">
      <w:pPr>
        <w:pStyle w:val="ListParagraph"/>
        <w:numPr>
          <w:ilvl w:val="0"/>
          <w:numId w:val="29"/>
        </w:numPr>
        <w:spacing w:before="0" w:after="120"/>
        <w:ind w:left="426" w:hanging="426"/>
        <w:contextualSpacing w:val="0"/>
        <w:rPr>
          <w:sz w:val="22"/>
          <w:szCs w:val="22"/>
        </w:rPr>
      </w:pPr>
      <w:r w:rsidRPr="006352F3">
        <w:rPr>
          <w:rFonts w:asciiTheme="minorHAnsi" w:hAnsiTheme="minorHAnsi"/>
          <w:b/>
          <w:color w:val="auto"/>
          <w:sz w:val="22"/>
          <w:szCs w:val="22"/>
        </w:rPr>
        <w:t>KPI 5:</w:t>
      </w:r>
      <w:r>
        <w:rPr>
          <w:rFonts w:asciiTheme="minorHAnsi" w:hAnsiTheme="minorHAnsi"/>
          <w:color w:val="auto"/>
          <w:sz w:val="22"/>
          <w:szCs w:val="22"/>
        </w:rPr>
        <w:t xml:space="preserve"> </w:t>
      </w:r>
      <w:r w:rsidRPr="00BB3347">
        <w:rPr>
          <w:rFonts w:asciiTheme="minorHAnsi" w:hAnsiTheme="minorHAnsi"/>
          <w:color w:val="auto"/>
          <w:sz w:val="22"/>
          <w:szCs w:val="22"/>
        </w:rPr>
        <w:t>81 per cent of respondents</w:t>
      </w:r>
      <w:r w:rsidR="00A54072">
        <w:rPr>
          <w:rFonts w:asciiTheme="minorHAnsi" w:hAnsiTheme="minorHAnsi"/>
          <w:color w:val="auto"/>
          <w:sz w:val="22"/>
          <w:szCs w:val="22"/>
        </w:rPr>
        <w:t xml:space="preserve"> to the survey</w:t>
      </w:r>
      <w:r w:rsidRPr="00BB3347">
        <w:rPr>
          <w:rFonts w:asciiTheme="minorHAnsi" w:hAnsiTheme="minorHAnsi"/>
          <w:color w:val="auto"/>
          <w:sz w:val="22"/>
          <w:szCs w:val="22"/>
        </w:rPr>
        <w:t xml:space="preserve"> indicated that NOPTA decisions are ‘always’ or ‘often’ transparent, and 80 per cent indicated that decisions were ‘always’ or ‘often’ justified with reference to legislation and guidelines.   </w:t>
      </w:r>
    </w:p>
    <w:p w14:paraId="3A5E1225" w14:textId="711A6289" w:rsidR="001C07E5" w:rsidRDefault="001C07E5" w:rsidP="008952D0">
      <w:pPr>
        <w:pStyle w:val="ListParagraph"/>
        <w:numPr>
          <w:ilvl w:val="0"/>
          <w:numId w:val="29"/>
        </w:numPr>
        <w:spacing w:before="0" w:after="120"/>
        <w:ind w:left="426" w:hanging="426"/>
        <w:contextualSpacing w:val="0"/>
        <w:rPr>
          <w:rFonts w:asciiTheme="minorHAnsi" w:hAnsiTheme="minorHAnsi"/>
          <w:bCs/>
          <w:color w:val="auto"/>
          <w:sz w:val="22"/>
          <w:szCs w:val="22"/>
        </w:rPr>
      </w:pPr>
      <w:bookmarkStart w:id="11" w:name="_Toc497215467"/>
      <w:bookmarkEnd w:id="9"/>
      <w:r w:rsidRPr="000743C1">
        <w:rPr>
          <w:rFonts w:asciiTheme="minorHAnsi" w:hAnsiTheme="minorHAnsi"/>
          <w:b/>
          <w:color w:val="auto"/>
          <w:sz w:val="22"/>
          <w:szCs w:val="22"/>
        </w:rPr>
        <w:t>KPI 6:</w:t>
      </w:r>
      <w:r>
        <w:rPr>
          <w:rFonts w:asciiTheme="minorHAnsi" w:hAnsiTheme="minorHAnsi"/>
          <w:color w:val="auto"/>
          <w:sz w:val="22"/>
          <w:szCs w:val="22"/>
        </w:rPr>
        <w:t xml:space="preserve"> </w:t>
      </w:r>
      <w:r w:rsidRPr="001C07E5">
        <w:rPr>
          <w:rFonts w:asciiTheme="minorHAnsi" w:hAnsiTheme="minorHAnsi"/>
          <w:bCs/>
          <w:color w:val="auto"/>
          <w:sz w:val="22"/>
          <w:szCs w:val="22"/>
        </w:rPr>
        <w:t xml:space="preserve">93 per cent of titleholders </w:t>
      </w:r>
      <w:r w:rsidR="00AB0D34">
        <w:rPr>
          <w:rFonts w:asciiTheme="minorHAnsi" w:hAnsiTheme="minorHAnsi"/>
          <w:bCs/>
          <w:color w:val="auto"/>
          <w:sz w:val="22"/>
          <w:szCs w:val="22"/>
        </w:rPr>
        <w:t xml:space="preserve">that responded </w:t>
      </w:r>
      <w:r w:rsidRPr="001C07E5">
        <w:rPr>
          <w:rFonts w:asciiTheme="minorHAnsi" w:hAnsiTheme="minorHAnsi"/>
          <w:bCs/>
          <w:color w:val="auto"/>
          <w:sz w:val="22"/>
          <w:szCs w:val="22"/>
        </w:rPr>
        <w:t>to the survey indicated that they were ‘very’ or ‘somewhat’ satisfied</w:t>
      </w:r>
      <w:r w:rsidRPr="00661318">
        <w:rPr>
          <w:rFonts w:asciiTheme="minorHAnsi" w:hAnsiTheme="minorHAnsi"/>
          <w:bCs/>
          <w:color w:val="auto"/>
          <w:sz w:val="22"/>
          <w:szCs w:val="22"/>
        </w:rPr>
        <w:t xml:space="preserve"> regarding the usefulness of NOPTA interaction in relation to resource stewardship, including field performance, resource maturation, regional development plans, and benchmarking. </w:t>
      </w:r>
    </w:p>
    <w:p w14:paraId="4EF19777" w14:textId="1A174413" w:rsidR="008952D0" w:rsidRPr="008952D0" w:rsidRDefault="008952D0" w:rsidP="008952D0">
      <w:pPr>
        <w:spacing w:line="240" w:lineRule="auto"/>
        <w:rPr>
          <w:rFonts w:cs="Arial"/>
        </w:rPr>
      </w:pPr>
      <w:r w:rsidRPr="008952D0">
        <w:rPr>
          <w:rFonts w:cs="Arial"/>
        </w:rPr>
        <w:t>The outcomes of th</w:t>
      </w:r>
      <w:r>
        <w:rPr>
          <w:rFonts w:cs="Arial"/>
        </w:rPr>
        <w:t>e 2019 stakeholder</w:t>
      </w:r>
      <w:r w:rsidRPr="008952D0">
        <w:rPr>
          <w:rFonts w:cs="Arial"/>
        </w:rPr>
        <w:t xml:space="preserve"> survey, in combination with our key achievements, have provided the basis of NOPTA’s 2018-19 self-assessment. </w:t>
      </w:r>
    </w:p>
    <w:p w14:paraId="69E142A8" w14:textId="77777777" w:rsidR="008952D0" w:rsidRPr="008952D0" w:rsidRDefault="008952D0" w:rsidP="008952D0">
      <w:pPr>
        <w:spacing w:after="120"/>
        <w:rPr>
          <w:bCs/>
        </w:rPr>
      </w:pPr>
    </w:p>
    <w:p w14:paraId="7B0C78D2" w14:textId="77777777" w:rsidR="001C07E5" w:rsidRPr="003514CC" w:rsidRDefault="001C07E5" w:rsidP="000743C1">
      <w:pPr>
        <w:pStyle w:val="ListParagraph"/>
        <w:spacing w:before="0" w:after="120"/>
        <w:ind w:left="426"/>
        <w:contextualSpacing w:val="0"/>
        <w:rPr>
          <w:rFonts w:asciiTheme="minorHAnsi" w:hAnsiTheme="minorHAnsi"/>
          <w:color w:val="auto"/>
          <w:sz w:val="22"/>
          <w:szCs w:val="22"/>
        </w:rPr>
      </w:pPr>
    </w:p>
    <w:p w14:paraId="086C9BD5" w14:textId="77777777" w:rsidR="009D5FB8" w:rsidRPr="00DD1078" w:rsidRDefault="009D5FB8" w:rsidP="00C3530A">
      <w:pPr>
        <w:pStyle w:val="ListParagraph"/>
        <w:spacing w:before="0" w:after="120"/>
        <w:ind w:left="426"/>
        <w:contextualSpacing w:val="0"/>
        <w:rPr>
          <w:rFonts w:asciiTheme="majorHAnsi" w:eastAsiaTheme="majorEastAsia" w:hAnsiTheme="majorHAnsi" w:cstheme="majorBidi"/>
          <w:b/>
          <w:color w:val="2E74B5" w:themeColor="accent1" w:themeShade="BF"/>
          <w:sz w:val="32"/>
          <w:szCs w:val="32"/>
        </w:rPr>
      </w:pPr>
    </w:p>
    <w:p w14:paraId="67961209" w14:textId="77777777" w:rsidR="009D5FB8" w:rsidRDefault="009D5FB8" w:rsidP="00C3530A">
      <w:pPr>
        <w:spacing w:after="120" w:line="240" w:lineRule="auto"/>
        <w:rPr>
          <w:b/>
        </w:rPr>
      </w:pPr>
    </w:p>
    <w:p w14:paraId="40046B1E" w14:textId="77777777" w:rsidR="00426D26" w:rsidRDefault="00426D26" w:rsidP="00C3530A">
      <w:pPr>
        <w:spacing w:line="240" w:lineRule="auto"/>
        <w:rPr>
          <w:rFonts w:asciiTheme="majorHAnsi" w:eastAsiaTheme="majorEastAsia" w:hAnsiTheme="majorHAnsi" w:cstheme="majorBidi"/>
          <w:b/>
          <w:color w:val="2E74B5" w:themeColor="accent1" w:themeShade="BF"/>
          <w:sz w:val="32"/>
          <w:szCs w:val="32"/>
        </w:rPr>
      </w:pPr>
      <w:r>
        <w:rPr>
          <w:b/>
        </w:rPr>
        <w:br w:type="page"/>
      </w:r>
    </w:p>
    <w:p w14:paraId="3594D3BD" w14:textId="508CAE38" w:rsidR="00851F51" w:rsidRPr="006352F3" w:rsidRDefault="00851F51" w:rsidP="00C3530A">
      <w:pPr>
        <w:pStyle w:val="Heading1"/>
        <w:spacing w:line="240" w:lineRule="auto"/>
        <w:rPr>
          <w:b/>
          <w:color w:val="1F4E79" w:themeColor="accent1" w:themeShade="80"/>
        </w:rPr>
      </w:pPr>
      <w:bookmarkStart w:id="12" w:name="_Toc20813177"/>
      <w:r w:rsidRPr="006352F3">
        <w:rPr>
          <w:b/>
          <w:color w:val="1F4E79" w:themeColor="accent1" w:themeShade="80"/>
        </w:rPr>
        <w:lastRenderedPageBreak/>
        <w:t>About NOPTA</w:t>
      </w:r>
      <w:bookmarkEnd w:id="11"/>
      <w:bookmarkEnd w:id="12"/>
    </w:p>
    <w:p w14:paraId="298BDAFE" w14:textId="230748E5" w:rsidR="00E534C4" w:rsidRPr="009C48E4" w:rsidRDefault="00D213B2" w:rsidP="00C3530A">
      <w:pPr>
        <w:spacing w:line="240" w:lineRule="auto"/>
        <w:rPr>
          <w:lang w:val="en"/>
        </w:rPr>
      </w:pPr>
      <w:r w:rsidRPr="00D51993">
        <w:rPr>
          <w:color w:val="000000"/>
        </w:rPr>
        <w:t>NOPTA, or the Titles Administrator, is appointed under the Offshore Petroleum and Greenhouse Gas Storage Act 2006 (the OPGGS Act) and is part of the Department of Industry, Innovation and Science (the department).</w:t>
      </w:r>
    </w:p>
    <w:p w14:paraId="32F6B113" w14:textId="2789FAF2" w:rsidR="00C1291D" w:rsidRDefault="00E534C4" w:rsidP="00640E16">
      <w:pPr>
        <w:spacing w:line="240" w:lineRule="auto"/>
      </w:pPr>
      <w:r w:rsidRPr="00E534C4">
        <w:t xml:space="preserve">The primary purpose of </w:t>
      </w:r>
      <w:r w:rsidR="00ED5BBF">
        <w:t xml:space="preserve">NOPTA </w:t>
      </w:r>
      <w:r w:rsidRPr="00E534C4">
        <w:t>is to</w:t>
      </w:r>
      <w:r w:rsidR="0029685C">
        <w:t xml:space="preserve"> advise on and</w:t>
      </w:r>
      <w:r w:rsidRPr="00E534C4">
        <w:t xml:space="preserve"> administer the OPGGS Act for Australia's offshore petroleum </w:t>
      </w:r>
      <w:r w:rsidR="00C1291D">
        <w:t xml:space="preserve">and greenhouse gas </w:t>
      </w:r>
      <w:r w:rsidRPr="00E534C4">
        <w:t>titles regime,</w:t>
      </w:r>
      <w:r w:rsidR="00426D26">
        <w:t xml:space="preserve"> and</w:t>
      </w:r>
      <w:r w:rsidRPr="00E534C4">
        <w:t xml:space="preserve"> to support the effective regulation of Australia's offshore oil and gas resources consistent with good oil field practice and optimum</w:t>
      </w:r>
      <w:r w:rsidR="00060AE4">
        <w:t xml:space="preserve"> </w:t>
      </w:r>
      <w:r w:rsidR="00661318">
        <w:t>long-term</w:t>
      </w:r>
      <w:r w:rsidR="00060AE4">
        <w:t xml:space="preserve"> </w:t>
      </w:r>
      <w:r w:rsidRPr="00E534C4">
        <w:t>recovery.</w:t>
      </w:r>
      <w:r w:rsidR="00060AE4">
        <w:t xml:space="preserve"> </w:t>
      </w:r>
    </w:p>
    <w:p w14:paraId="7F73B173" w14:textId="3204E3DE" w:rsidR="00E534C4" w:rsidRDefault="00ED5BBF" w:rsidP="000743C1">
      <w:pPr>
        <w:spacing w:after="0" w:line="240" w:lineRule="auto"/>
      </w:pPr>
      <w:r>
        <w:t>NOPTA’s</w:t>
      </w:r>
      <w:r w:rsidR="00E534C4" w:rsidRPr="00E534C4">
        <w:t xml:space="preserve"> </w:t>
      </w:r>
      <w:r w:rsidR="006003EF">
        <w:t>role</w:t>
      </w:r>
      <w:r w:rsidR="006003EF" w:rsidRPr="00E534C4">
        <w:t xml:space="preserve"> </w:t>
      </w:r>
      <w:r w:rsidR="006003EF">
        <w:t>is to</w:t>
      </w:r>
      <w:r w:rsidR="00E534C4" w:rsidRPr="00E534C4">
        <w:t>:</w:t>
      </w:r>
    </w:p>
    <w:p w14:paraId="10DDB617" w14:textId="7C1ED613" w:rsidR="000743C1" w:rsidRPr="000743C1" w:rsidRDefault="000743C1" w:rsidP="000743C1">
      <w:pPr>
        <w:pStyle w:val="ListParagraph"/>
        <w:numPr>
          <w:ilvl w:val="1"/>
          <w:numId w:val="47"/>
        </w:numPr>
        <w:spacing w:before="0" w:after="120"/>
        <w:ind w:left="1134" w:hanging="425"/>
        <w:contextualSpacing w:val="0"/>
        <w:rPr>
          <w:rFonts w:asciiTheme="minorHAnsi" w:hAnsiTheme="minorHAnsi"/>
          <w:color w:val="auto"/>
          <w:sz w:val="22"/>
          <w:szCs w:val="22"/>
        </w:rPr>
      </w:pPr>
      <w:r w:rsidRPr="000743C1">
        <w:rPr>
          <w:rFonts w:asciiTheme="minorHAnsi" w:hAnsiTheme="minorHAnsi"/>
          <w:color w:val="auto"/>
          <w:sz w:val="22"/>
          <w:szCs w:val="22"/>
        </w:rPr>
        <w:t>provide information, assessments, analysis, reports, advice and recommendations to the Joint Authorities</w:t>
      </w:r>
      <w:r w:rsidR="009C48E4">
        <w:rPr>
          <w:rStyle w:val="FootnoteReference"/>
          <w:rFonts w:asciiTheme="minorHAnsi" w:hAnsiTheme="minorHAnsi"/>
          <w:color w:val="auto"/>
          <w:sz w:val="22"/>
          <w:szCs w:val="22"/>
        </w:rPr>
        <w:footnoteReference w:id="2"/>
      </w:r>
      <w:r w:rsidRPr="000743C1">
        <w:rPr>
          <w:rFonts w:asciiTheme="minorHAnsi" w:hAnsiTheme="minorHAnsi"/>
          <w:color w:val="auto"/>
          <w:sz w:val="22"/>
          <w:szCs w:val="22"/>
        </w:rPr>
        <w:t xml:space="preserve"> and the 'responsible Commonwealth Minister'</w:t>
      </w:r>
    </w:p>
    <w:p w14:paraId="249F3C57" w14:textId="77777777" w:rsidR="000743C1" w:rsidRPr="000743C1" w:rsidRDefault="000743C1" w:rsidP="000743C1">
      <w:pPr>
        <w:pStyle w:val="ListParagraph"/>
        <w:numPr>
          <w:ilvl w:val="1"/>
          <w:numId w:val="47"/>
        </w:numPr>
        <w:spacing w:before="0" w:after="120"/>
        <w:ind w:left="1134" w:hanging="425"/>
        <w:contextualSpacing w:val="0"/>
        <w:rPr>
          <w:rFonts w:asciiTheme="minorHAnsi" w:hAnsiTheme="minorHAnsi"/>
          <w:color w:val="auto"/>
          <w:sz w:val="22"/>
          <w:szCs w:val="22"/>
        </w:rPr>
      </w:pPr>
      <w:r w:rsidRPr="000743C1">
        <w:rPr>
          <w:rFonts w:asciiTheme="minorHAnsi" w:hAnsiTheme="minorHAnsi"/>
          <w:color w:val="auto"/>
          <w:sz w:val="22"/>
          <w:szCs w:val="22"/>
        </w:rPr>
        <w:t>grant short-term titles (petroleum access authority and petroleum special prospecting authority) and approve transfers and dealings</w:t>
      </w:r>
    </w:p>
    <w:p w14:paraId="0BDAA0FD" w14:textId="77777777" w:rsidR="000743C1" w:rsidRPr="000743C1" w:rsidRDefault="000743C1" w:rsidP="000743C1">
      <w:pPr>
        <w:pStyle w:val="ListParagraph"/>
        <w:numPr>
          <w:ilvl w:val="1"/>
          <w:numId w:val="47"/>
        </w:numPr>
        <w:spacing w:before="0" w:after="120"/>
        <w:ind w:left="1134" w:hanging="425"/>
        <w:contextualSpacing w:val="0"/>
        <w:rPr>
          <w:rFonts w:asciiTheme="minorHAnsi" w:hAnsiTheme="minorHAnsi"/>
          <w:color w:val="auto"/>
          <w:sz w:val="22"/>
          <w:szCs w:val="22"/>
        </w:rPr>
      </w:pPr>
      <w:r w:rsidRPr="000743C1">
        <w:rPr>
          <w:rFonts w:asciiTheme="minorHAnsi" w:hAnsiTheme="minorHAnsi"/>
          <w:color w:val="auto"/>
          <w:sz w:val="22"/>
          <w:szCs w:val="22"/>
        </w:rPr>
        <w:t>facilitate life of title administration, including compliance monitoring</w:t>
      </w:r>
    </w:p>
    <w:p w14:paraId="5D5EB30B" w14:textId="77777777" w:rsidR="000743C1" w:rsidRPr="000743C1" w:rsidRDefault="000743C1" w:rsidP="000743C1">
      <w:pPr>
        <w:pStyle w:val="ListParagraph"/>
        <w:numPr>
          <w:ilvl w:val="1"/>
          <w:numId w:val="47"/>
        </w:numPr>
        <w:spacing w:before="0" w:after="120"/>
        <w:ind w:left="1134" w:hanging="425"/>
        <w:contextualSpacing w:val="0"/>
        <w:rPr>
          <w:rFonts w:asciiTheme="minorHAnsi" w:hAnsiTheme="minorHAnsi"/>
          <w:color w:val="auto"/>
          <w:sz w:val="22"/>
          <w:szCs w:val="22"/>
        </w:rPr>
      </w:pPr>
      <w:r w:rsidRPr="000743C1">
        <w:rPr>
          <w:rFonts w:asciiTheme="minorHAnsi" w:hAnsiTheme="minorHAnsi"/>
          <w:color w:val="auto"/>
          <w:sz w:val="22"/>
          <w:szCs w:val="22"/>
        </w:rPr>
        <w:t>manage the collection, management and release of data</w:t>
      </w:r>
    </w:p>
    <w:p w14:paraId="1507A27D" w14:textId="77777777" w:rsidR="000743C1" w:rsidRPr="000743C1" w:rsidRDefault="000743C1" w:rsidP="000743C1">
      <w:pPr>
        <w:pStyle w:val="ListParagraph"/>
        <w:numPr>
          <w:ilvl w:val="1"/>
          <w:numId w:val="47"/>
        </w:numPr>
        <w:spacing w:before="0" w:after="120"/>
        <w:ind w:left="1134" w:hanging="425"/>
        <w:contextualSpacing w:val="0"/>
        <w:rPr>
          <w:rFonts w:asciiTheme="minorHAnsi" w:hAnsiTheme="minorHAnsi"/>
          <w:color w:val="auto"/>
          <w:sz w:val="22"/>
          <w:szCs w:val="22"/>
        </w:rPr>
      </w:pPr>
      <w:r w:rsidRPr="000743C1">
        <w:rPr>
          <w:rFonts w:asciiTheme="minorHAnsi" w:hAnsiTheme="minorHAnsi"/>
          <w:color w:val="auto"/>
          <w:sz w:val="22"/>
          <w:szCs w:val="22"/>
        </w:rPr>
        <w:t>keep the registers of petroleum and greenhouse gas storage titles</w:t>
      </w:r>
    </w:p>
    <w:p w14:paraId="44D3B2D6" w14:textId="77777777" w:rsidR="000743C1" w:rsidRDefault="000743C1" w:rsidP="000743C1">
      <w:pPr>
        <w:pStyle w:val="ListParagraph"/>
        <w:numPr>
          <w:ilvl w:val="1"/>
          <w:numId w:val="47"/>
        </w:numPr>
        <w:spacing w:before="0" w:after="120"/>
        <w:ind w:left="1134" w:hanging="425"/>
        <w:contextualSpacing w:val="0"/>
        <w:rPr>
          <w:rFonts w:asciiTheme="minorHAnsi" w:hAnsiTheme="minorHAnsi"/>
          <w:color w:val="auto"/>
          <w:sz w:val="22"/>
          <w:szCs w:val="22"/>
        </w:rPr>
      </w:pPr>
      <w:r w:rsidRPr="000743C1">
        <w:rPr>
          <w:rFonts w:asciiTheme="minorHAnsi" w:hAnsiTheme="minorHAnsi"/>
          <w:color w:val="auto"/>
          <w:sz w:val="22"/>
          <w:szCs w:val="22"/>
        </w:rPr>
        <w:t xml:space="preserve">ensuring petroleum resource management is undertaken in accordance with the principles of good oil field practice </w:t>
      </w:r>
    </w:p>
    <w:p w14:paraId="7AB1A29F" w14:textId="514AAF04" w:rsidR="000743C1" w:rsidRDefault="000743C1" w:rsidP="000743C1">
      <w:pPr>
        <w:pStyle w:val="ListParagraph"/>
        <w:numPr>
          <w:ilvl w:val="1"/>
          <w:numId w:val="47"/>
        </w:numPr>
        <w:spacing w:before="0" w:after="120"/>
        <w:ind w:left="1134" w:hanging="425"/>
        <w:contextualSpacing w:val="0"/>
        <w:rPr>
          <w:rFonts w:asciiTheme="minorHAnsi" w:hAnsiTheme="minorHAnsi"/>
          <w:color w:val="auto"/>
          <w:sz w:val="22"/>
          <w:szCs w:val="22"/>
        </w:rPr>
      </w:pPr>
      <w:r w:rsidRPr="000743C1">
        <w:rPr>
          <w:rFonts w:asciiTheme="minorHAnsi" w:hAnsiTheme="minorHAnsi"/>
          <w:color w:val="auto"/>
          <w:sz w:val="22"/>
          <w:szCs w:val="22"/>
        </w:rPr>
        <w:t xml:space="preserve">implementing effective field development review and performance monitoring strategies in order to secure optimum petroleum recovery </w:t>
      </w:r>
    </w:p>
    <w:p w14:paraId="665E29C0" w14:textId="45749034" w:rsidR="009C48E4" w:rsidRDefault="009C48E4" w:rsidP="009C48E4">
      <w:pPr>
        <w:spacing w:after="120"/>
        <w:rPr>
          <w:rFonts w:ascii="Arial" w:hAnsi="Arial" w:cs="Arial"/>
          <w:color w:val="282828"/>
          <w:sz w:val="27"/>
          <w:szCs w:val="27"/>
          <w:shd w:val="clear" w:color="auto" w:fill="FFFFFF"/>
        </w:rPr>
      </w:pPr>
    </w:p>
    <w:p w14:paraId="23CCF27C" w14:textId="0DEFB20E" w:rsidR="009C48E4" w:rsidRPr="009C48E4" w:rsidRDefault="009C48E4" w:rsidP="00D51993">
      <w:pPr>
        <w:spacing w:after="120"/>
      </w:pPr>
    </w:p>
    <w:p w14:paraId="2C12434A" w14:textId="18BA194B" w:rsidR="00ED5BBF" w:rsidRPr="006003EF" w:rsidRDefault="000743C1" w:rsidP="000743C1">
      <w:pPr>
        <w:rPr>
          <w:rFonts w:eastAsiaTheme="majorEastAsia" w:cstheme="minorHAnsi"/>
        </w:rPr>
      </w:pPr>
      <w:r w:rsidRPr="000743C1">
        <w:rPr>
          <w:rFonts w:cstheme="minorHAnsi"/>
        </w:rPr>
        <w:t xml:space="preserve"> </w:t>
      </w:r>
      <w:r w:rsidR="00ED5BBF" w:rsidRPr="006003EF">
        <w:rPr>
          <w:rFonts w:cstheme="minorHAnsi"/>
        </w:rPr>
        <w:br w:type="page"/>
      </w:r>
    </w:p>
    <w:p w14:paraId="53AC3A75" w14:textId="21A1D92B" w:rsidR="00E534C4" w:rsidRPr="006352F3" w:rsidRDefault="00451963" w:rsidP="00C3530A">
      <w:pPr>
        <w:pStyle w:val="Heading1"/>
        <w:spacing w:line="240" w:lineRule="auto"/>
        <w:rPr>
          <w:b/>
          <w:color w:val="1F4E79" w:themeColor="accent1" w:themeShade="80"/>
          <w:sz w:val="40"/>
          <w:szCs w:val="40"/>
        </w:rPr>
      </w:pPr>
      <w:bookmarkStart w:id="13" w:name="_Toc20813178"/>
      <w:r w:rsidRPr="006352F3">
        <w:rPr>
          <w:b/>
          <w:color w:val="1F4E79" w:themeColor="accent1" w:themeShade="80"/>
          <w:sz w:val="40"/>
          <w:szCs w:val="40"/>
        </w:rPr>
        <w:lastRenderedPageBreak/>
        <w:t xml:space="preserve">2018-19 </w:t>
      </w:r>
      <w:r w:rsidR="00D15C43" w:rsidRPr="006352F3">
        <w:rPr>
          <w:b/>
          <w:color w:val="1F4E79" w:themeColor="accent1" w:themeShade="80"/>
          <w:sz w:val="40"/>
          <w:szCs w:val="40"/>
        </w:rPr>
        <w:t xml:space="preserve">NOPTA </w:t>
      </w:r>
      <w:r w:rsidR="00DD0B5B">
        <w:rPr>
          <w:b/>
          <w:color w:val="1F4E79" w:themeColor="accent1" w:themeShade="80"/>
          <w:sz w:val="40"/>
          <w:szCs w:val="40"/>
        </w:rPr>
        <w:t>s</w:t>
      </w:r>
      <w:r w:rsidR="00E534C4" w:rsidRPr="006352F3">
        <w:rPr>
          <w:b/>
          <w:color w:val="1F4E79" w:themeColor="accent1" w:themeShade="80"/>
          <w:sz w:val="40"/>
          <w:szCs w:val="40"/>
        </w:rPr>
        <w:t>elf-assessment</w:t>
      </w:r>
      <w:bookmarkEnd w:id="13"/>
      <w:r w:rsidR="00E534C4" w:rsidRPr="006352F3">
        <w:rPr>
          <w:b/>
          <w:color w:val="1F4E79" w:themeColor="accent1" w:themeShade="80"/>
          <w:sz w:val="40"/>
          <w:szCs w:val="40"/>
        </w:rPr>
        <w:t xml:space="preserve"> </w:t>
      </w:r>
    </w:p>
    <w:p w14:paraId="114B8CC6" w14:textId="77777777" w:rsidR="00D15C43" w:rsidRDefault="00D15C43" w:rsidP="00C3530A">
      <w:pPr>
        <w:pBdr>
          <w:bottom w:val="single" w:sz="6" w:space="1" w:color="auto"/>
        </w:pBdr>
        <w:spacing w:line="240" w:lineRule="auto"/>
      </w:pPr>
    </w:p>
    <w:p w14:paraId="124AB654" w14:textId="21C88CD0" w:rsidR="00772396" w:rsidRPr="006352F3" w:rsidRDefault="006F6665" w:rsidP="00C3530A">
      <w:pPr>
        <w:pStyle w:val="Heading2"/>
        <w:jc w:val="left"/>
        <w:rPr>
          <w:color w:val="1F4E79" w:themeColor="accent1" w:themeShade="80"/>
        </w:rPr>
      </w:pPr>
      <w:bookmarkStart w:id="14" w:name="_Toc20813179"/>
      <w:r w:rsidRPr="006352F3">
        <w:rPr>
          <w:color w:val="1F4E79" w:themeColor="accent1" w:themeShade="80"/>
        </w:rPr>
        <w:t>KPI 1: Regulators do not unnecessarily impede the efficient operation of regulated entities</w:t>
      </w:r>
      <w:bookmarkStart w:id="15" w:name="_Toc497215469"/>
      <w:bookmarkStart w:id="16" w:name="_Toc453069557"/>
      <w:bookmarkEnd w:id="6"/>
      <w:bookmarkEnd w:id="7"/>
      <w:bookmarkEnd w:id="14"/>
    </w:p>
    <w:p w14:paraId="5741636B" w14:textId="77777777" w:rsidR="006F6665" w:rsidRPr="006352F3" w:rsidRDefault="006F6665" w:rsidP="00C3530A">
      <w:pPr>
        <w:pStyle w:val="Heading3"/>
        <w:jc w:val="left"/>
        <w:rPr>
          <w:color w:val="1F4E79" w:themeColor="accent1" w:themeShade="80"/>
        </w:rPr>
      </w:pPr>
      <w:bookmarkStart w:id="17" w:name="_Toc20813180"/>
      <w:r w:rsidRPr="006352F3">
        <w:rPr>
          <w:color w:val="1F4E79" w:themeColor="accent1" w:themeShade="80"/>
        </w:rPr>
        <w:t>KPI Expectations</w:t>
      </w:r>
      <w:bookmarkEnd w:id="15"/>
      <w:bookmarkEnd w:id="17"/>
    </w:p>
    <w:p w14:paraId="67B07DF9" w14:textId="59151DD6" w:rsidR="00772396" w:rsidRDefault="006F6665" w:rsidP="00C3530A">
      <w:pPr>
        <w:spacing w:after="0" w:line="240" w:lineRule="auto"/>
      </w:pPr>
      <w:r w:rsidRPr="00772396">
        <w:t xml:space="preserve">Regulators should always consider the legislative and authorising environment and seek to minimise the potential negative impact of regulatory activity where appropriate. Regulators </w:t>
      </w:r>
      <w:r w:rsidR="00DD0B5B">
        <w:t xml:space="preserve">should </w:t>
      </w:r>
      <w:r w:rsidRPr="00772396">
        <w:t>avoid imposing unnecessary costs in the design and review of policies, procedures and practices. This includes engaging with external organisations to learn and share experiences.</w:t>
      </w:r>
      <w:bookmarkStart w:id="18" w:name="_Toc497215470"/>
    </w:p>
    <w:p w14:paraId="78DD9731" w14:textId="77777777" w:rsidR="006F6665" w:rsidRPr="006352F3" w:rsidRDefault="006F6665" w:rsidP="00C3530A">
      <w:pPr>
        <w:pStyle w:val="Heading3"/>
        <w:jc w:val="left"/>
        <w:rPr>
          <w:color w:val="1F4E79" w:themeColor="accent1" w:themeShade="80"/>
        </w:rPr>
      </w:pPr>
      <w:bookmarkStart w:id="19" w:name="_Toc20813181"/>
      <w:r w:rsidRPr="006352F3">
        <w:rPr>
          <w:color w:val="1F4E79" w:themeColor="accent1" w:themeShade="80"/>
        </w:rPr>
        <w:t>NOPTA’s Approach</w:t>
      </w:r>
      <w:bookmarkEnd w:id="18"/>
      <w:bookmarkEnd w:id="19"/>
      <w:r w:rsidRPr="006352F3">
        <w:rPr>
          <w:color w:val="1F4E79" w:themeColor="accent1" w:themeShade="80"/>
        </w:rPr>
        <w:t xml:space="preserve"> </w:t>
      </w:r>
    </w:p>
    <w:p w14:paraId="67FE2C8F" w14:textId="0C7632C1" w:rsidR="007A0065" w:rsidRPr="007A0065" w:rsidRDefault="00DD0B5B" w:rsidP="00C3530A">
      <w:pPr>
        <w:spacing w:line="240" w:lineRule="auto"/>
      </w:pPr>
      <w:bookmarkStart w:id="20" w:name="_Toc497215471"/>
      <w:bookmarkEnd w:id="16"/>
      <w:r>
        <w:t>NOPTA</w:t>
      </w:r>
      <w:r w:rsidRPr="007A0065">
        <w:t xml:space="preserve"> </w:t>
      </w:r>
      <w:r w:rsidR="007A0065" w:rsidRPr="007A0065">
        <w:t>develop</w:t>
      </w:r>
      <w:r w:rsidR="00A53D08">
        <w:t>s</w:t>
      </w:r>
      <w:r>
        <w:t xml:space="preserve"> and</w:t>
      </w:r>
      <w:r w:rsidR="007A0065" w:rsidRPr="007A0065">
        <w:t xml:space="preserve"> maintain</w:t>
      </w:r>
      <w:r w:rsidR="00A53D08">
        <w:t>s</w:t>
      </w:r>
      <w:r w:rsidR="007A0065" w:rsidRPr="007A0065">
        <w:t xml:space="preserve"> policies </w:t>
      </w:r>
      <w:r>
        <w:t xml:space="preserve">and procedures that </w:t>
      </w:r>
      <w:r w:rsidR="000158C2">
        <w:t xml:space="preserve">promote transparency, </w:t>
      </w:r>
      <w:r w:rsidR="007A0065" w:rsidRPr="007A0065">
        <w:t>efficiency</w:t>
      </w:r>
      <w:r w:rsidR="000158C2">
        <w:t xml:space="preserve"> and</w:t>
      </w:r>
      <w:r w:rsidR="007A0065" w:rsidRPr="007A0065">
        <w:t xml:space="preserve"> effectiveness, and minimise compliance costs. </w:t>
      </w:r>
      <w:r w:rsidR="00A53D08">
        <w:t>NOPTA reviews its</w:t>
      </w:r>
      <w:r w:rsidR="007A0065" w:rsidRPr="007A0065">
        <w:t xml:space="preserve"> policies and procedures regularly to </w:t>
      </w:r>
      <w:r>
        <w:t xml:space="preserve">ensure currency and </w:t>
      </w:r>
      <w:r w:rsidR="007A0065" w:rsidRPr="007A0065">
        <w:t xml:space="preserve">identify </w:t>
      </w:r>
      <w:r>
        <w:t xml:space="preserve">any </w:t>
      </w:r>
      <w:r w:rsidR="000158C2">
        <w:t>a</w:t>
      </w:r>
      <w:r w:rsidR="007A0065" w:rsidRPr="007A0065">
        <w:t>reas for improvement.</w:t>
      </w:r>
    </w:p>
    <w:p w14:paraId="1D004A3C" w14:textId="77777777" w:rsidR="006F6665" w:rsidRPr="00B138B1" w:rsidRDefault="006F6665" w:rsidP="00C3530A">
      <w:pPr>
        <w:spacing w:line="240" w:lineRule="auto"/>
        <w:rPr>
          <w:b/>
        </w:rPr>
      </w:pPr>
      <w:r w:rsidRPr="00B138B1">
        <w:rPr>
          <w:b/>
        </w:rPr>
        <w:t>Results</w:t>
      </w:r>
      <w:bookmarkEnd w:id="20"/>
      <w:r w:rsidR="00DE7023" w:rsidRPr="00B138B1">
        <w:rPr>
          <w:b/>
        </w:rPr>
        <w:t xml:space="preserve">: </w:t>
      </w:r>
      <w:r w:rsidR="00DE7023" w:rsidRPr="00B138B1">
        <w:rPr>
          <w:b/>
        </w:rPr>
        <w:tab/>
      </w:r>
      <w:r w:rsidR="004821E4" w:rsidRPr="00B138B1">
        <w:rPr>
          <w:b/>
        </w:rPr>
        <w:fldChar w:fldCharType="begin">
          <w:ffData>
            <w:name w:val="Check1"/>
            <w:enabled/>
            <w:calcOnExit w:val="0"/>
            <w:checkBox>
              <w:sizeAuto/>
              <w:default w:val="1"/>
            </w:checkBox>
          </w:ffData>
        </w:fldChar>
      </w:r>
      <w:bookmarkStart w:id="21" w:name="Check1"/>
      <w:r w:rsidR="004821E4" w:rsidRPr="00B138B1">
        <w:rPr>
          <w:b/>
        </w:rPr>
        <w:instrText xml:space="preserve"> FORMCHECKBOX </w:instrText>
      </w:r>
      <w:r w:rsidR="0084660B">
        <w:rPr>
          <w:b/>
        </w:rPr>
      </w:r>
      <w:r w:rsidR="0084660B">
        <w:rPr>
          <w:b/>
        </w:rPr>
        <w:fldChar w:fldCharType="separate"/>
      </w:r>
      <w:r w:rsidR="004821E4" w:rsidRPr="00B138B1">
        <w:rPr>
          <w:b/>
        </w:rPr>
        <w:fldChar w:fldCharType="end"/>
      </w:r>
      <w:bookmarkEnd w:id="21"/>
      <w:r w:rsidR="004821E4" w:rsidRPr="00B138B1">
        <w:rPr>
          <w:b/>
        </w:rPr>
        <w:t xml:space="preserve"> Met</w:t>
      </w:r>
      <w:r w:rsidR="004821E4" w:rsidRPr="00B138B1">
        <w:rPr>
          <w:b/>
        </w:rPr>
        <w:tab/>
      </w:r>
      <w:r w:rsidR="004821E4" w:rsidRPr="00B138B1">
        <w:rPr>
          <w:b/>
        </w:rPr>
        <w:tab/>
      </w:r>
      <w:r w:rsidR="004821E4" w:rsidRPr="00B138B1">
        <w:rPr>
          <w:b/>
        </w:rPr>
        <w:fldChar w:fldCharType="begin">
          <w:ffData>
            <w:name w:val="Check2"/>
            <w:enabled/>
            <w:calcOnExit w:val="0"/>
            <w:checkBox>
              <w:sizeAuto/>
              <w:default w:val="0"/>
            </w:checkBox>
          </w:ffData>
        </w:fldChar>
      </w:r>
      <w:bookmarkStart w:id="22" w:name="Check2"/>
      <w:r w:rsidR="004821E4" w:rsidRPr="00B138B1">
        <w:rPr>
          <w:b/>
        </w:rPr>
        <w:instrText xml:space="preserve"> FORMCHECKBOX </w:instrText>
      </w:r>
      <w:r w:rsidR="0084660B">
        <w:rPr>
          <w:b/>
        </w:rPr>
      </w:r>
      <w:r w:rsidR="0084660B">
        <w:rPr>
          <w:b/>
        </w:rPr>
        <w:fldChar w:fldCharType="separate"/>
      </w:r>
      <w:r w:rsidR="004821E4" w:rsidRPr="00B138B1">
        <w:rPr>
          <w:b/>
        </w:rPr>
        <w:fldChar w:fldCharType="end"/>
      </w:r>
      <w:bookmarkEnd w:id="22"/>
      <w:r w:rsidR="004821E4" w:rsidRPr="00B138B1">
        <w:rPr>
          <w:b/>
        </w:rPr>
        <w:t xml:space="preserve"> Partially Met</w:t>
      </w:r>
      <w:r w:rsidR="004821E4" w:rsidRPr="00B138B1">
        <w:rPr>
          <w:b/>
        </w:rPr>
        <w:tab/>
      </w:r>
      <w:r w:rsidR="004821E4" w:rsidRPr="00B138B1">
        <w:rPr>
          <w:b/>
        </w:rPr>
        <w:fldChar w:fldCharType="begin">
          <w:ffData>
            <w:name w:val="Check3"/>
            <w:enabled/>
            <w:calcOnExit w:val="0"/>
            <w:checkBox>
              <w:sizeAuto/>
              <w:default w:val="0"/>
            </w:checkBox>
          </w:ffData>
        </w:fldChar>
      </w:r>
      <w:bookmarkStart w:id="23" w:name="Check3"/>
      <w:r w:rsidR="004821E4" w:rsidRPr="00B138B1">
        <w:rPr>
          <w:b/>
        </w:rPr>
        <w:instrText xml:space="preserve"> FORMCHECKBOX </w:instrText>
      </w:r>
      <w:r w:rsidR="0084660B">
        <w:rPr>
          <w:b/>
        </w:rPr>
      </w:r>
      <w:r w:rsidR="0084660B">
        <w:rPr>
          <w:b/>
        </w:rPr>
        <w:fldChar w:fldCharType="separate"/>
      </w:r>
      <w:r w:rsidR="004821E4" w:rsidRPr="00B138B1">
        <w:rPr>
          <w:b/>
        </w:rPr>
        <w:fldChar w:fldCharType="end"/>
      </w:r>
      <w:bookmarkEnd w:id="23"/>
      <w:r w:rsidR="004821E4" w:rsidRPr="00B138B1">
        <w:rPr>
          <w:b/>
        </w:rPr>
        <w:t xml:space="preserve"> Not Met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1B23EB" w14:paraId="5E737B12" w14:textId="77777777" w:rsidTr="00E84598">
        <w:tc>
          <w:tcPr>
            <w:tcW w:w="9016" w:type="dxa"/>
            <w:shd w:val="clear" w:color="auto" w:fill="F2F2F2" w:themeFill="background1" w:themeFillShade="F2"/>
          </w:tcPr>
          <w:p w14:paraId="2F2CA2EF" w14:textId="020366FA" w:rsidR="001B23EB" w:rsidRPr="00E84598" w:rsidRDefault="001B23EB" w:rsidP="00C3530A">
            <w:pPr>
              <w:rPr>
                <w:i/>
              </w:rPr>
            </w:pPr>
            <w:bookmarkStart w:id="24" w:name="_Toc453069558"/>
            <w:r w:rsidRPr="00E84598">
              <w:rPr>
                <w:i/>
              </w:rPr>
              <w:t>NOPTA assesses that it has met KPI 1</w:t>
            </w:r>
            <w:r w:rsidR="00BF5C69">
              <w:rPr>
                <w:i/>
              </w:rPr>
              <w:t>. This</w:t>
            </w:r>
            <w:r w:rsidR="00850E5B">
              <w:rPr>
                <w:i/>
              </w:rPr>
              <w:t xml:space="preserve"> is evident through the positive stakeholder feedback received regarding </w:t>
            </w:r>
            <w:r w:rsidR="00850E5B" w:rsidRPr="00850E5B">
              <w:rPr>
                <w:i/>
              </w:rPr>
              <w:t>the decision-making processes NOPTA is</w:t>
            </w:r>
            <w:r w:rsidR="00903039">
              <w:rPr>
                <w:i/>
              </w:rPr>
              <w:t xml:space="preserve"> involved in</w:t>
            </w:r>
            <w:r w:rsidR="00850E5B">
              <w:rPr>
                <w:i/>
              </w:rPr>
              <w:t xml:space="preserve">. </w:t>
            </w:r>
            <w:r w:rsidR="00BF5C69">
              <w:rPr>
                <w:i/>
              </w:rPr>
              <w:t xml:space="preserve"> </w:t>
            </w:r>
          </w:p>
        </w:tc>
      </w:tr>
    </w:tbl>
    <w:p w14:paraId="0F454FFD" w14:textId="123691A9" w:rsidR="00B90F51" w:rsidRDefault="00B90F51" w:rsidP="00C3530A">
      <w:pPr>
        <w:spacing w:after="0" w:line="240" w:lineRule="auto"/>
        <w:rPr>
          <w:b/>
        </w:rPr>
      </w:pPr>
    </w:p>
    <w:p w14:paraId="135DA461" w14:textId="57924170" w:rsidR="000257E2" w:rsidRPr="00A653E6" w:rsidRDefault="000257E2" w:rsidP="00C3530A">
      <w:pPr>
        <w:pStyle w:val="ListParagraph"/>
        <w:numPr>
          <w:ilvl w:val="0"/>
          <w:numId w:val="29"/>
        </w:numPr>
        <w:spacing w:before="0" w:after="120"/>
        <w:ind w:left="426" w:hanging="426"/>
        <w:contextualSpacing w:val="0"/>
      </w:pPr>
      <w:r w:rsidRPr="00A653E6">
        <w:rPr>
          <w:rFonts w:asciiTheme="minorHAnsi" w:hAnsiTheme="minorHAnsi"/>
          <w:color w:val="auto"/>
          <w:sz w:val="22"/>
          <w:szCs w:val="22"/>
        </w:rPr>
        <w:t>The outcomes of the 2019 stakeholder survey reveal that NOPTA remains highly regarded with 98 per cent of respondents considering that NOPTA makes a valuable contribution to the process of managing Australia’s resources.</w:t>
      </w:r>
    </w:p>
    <w:p w14:paraId="157370B3" w14:textId="3E498BEF" w:rsidR="004D72E0" w:rsidRPr="004D72E0" w:rsidRDefault="00054669" w:rsidP="00C3530A">
      <w:pPr>
        <w:pStyle w:val="ListParagraph"/>
        <w:numPr>
          <w:ilvl w:val="0"/>
          <w:numId w:val="29"/>
        </w:numPr>
        <w:spacing w:before="0" w:after="120"/>
        <w:ind w:left="426" w:hanging="426"/>
        <w:contextualSpacing w:val="0"/>
        <w:rPr>
          <w:rFonts w:asciiTheme="minorHAnsi" w:hAnsiTheme="minorHAnsi"/>
          <w:color w:val="auto"/>
          <w:sz w:val="22"/>
          <w:szCs w:val="22"/>
        </w:rPr>
      </w:pPr>
      <w:r>
        <w:rPr>
          <w:rFonts w:asciiTheme="minorHAnsi" w:hAnsiTheme="minorHAnsi"/>
          <w:color w:val="auto"/>
          <w:sz w:val="22"/>
          <w:szCs w:val="22"/>
        </w:rPr>
        <w:t>In relation to</w:t>
      </w:r>
      <w:r w:rsidRPr="00765EC5">
        <w:rPr>
          <w:rFonts w:asciiTheme="minorHAnsi" w:hAnsiTheme="minorHAnsi"/>
          <w:color w:val="auto"/>
          <w:sz w:val="22"/>
          <w:szCs w:val="22"/>
        </w:rPr>
        <w:t xml:space="preserve"> </w:t>
      </w:r>
      <w:r w:rsidR="004D72E0">
        <w:rPr>
          <w:rFonts w:asciiTheme="minorHAnsi" w:hAnsiTheme="minorHAnsi"/>
          <w:color w:val="auto"/>
          <w:sz w:val="22"/>
          <w:szCs w:val="22"/>
        </w:rPr>
        <w:t xml:space="preserve">interaction with NOPTA on </w:t>
      </w:r>
      <w:r w:rsidR="001A43D1" w:rsidRPr="00765EC5">
        <w:rPr>
          <w:rFonts w:asciiTheme="minorHAnsi" w:hAnsiTheme="minorHAnsi"/>
          <w:color w:val="auto"/>
          <w:sz w:val="22"/>
          <w:szCs w:val="22"/>
        </w:rPr>
        <w:t>petroleum title application</w:t>
      </w:r>
      <w:r w:rsidR="00765EC5">
        <w:rPr>
          <w:rFonts w:asciiTheme="minorHAnsi" w:hAnsiTheme="minorHAnsi"/>
          <w:color w:val="auto"/>
          <w:sz w:val="22"/>
          <w:szCs w:val="22"/>
        </w:rPr>
        <w:t>s</w:t>
      </w:r>
      <w:r w:rsidR="001A43D1" w:rsidRPr="00765EC5">
        <w:rPr>
          <w:rFonts w:asciiTheme="minorHAnsi" w:hAnsiTheme="minorHAnsi"/>
          <w:color w:val="auto"/>
          <w:sz w:val="22"/>
          <w:szCs w:val="22"/>
        </w:rPr>
        <w:t>, 83 per cent of respondents indicated they were satisfied with the consistency of advice received</w:t>
      </w:r>
      <w:r w:rsidR="00C71AEC">
        <w:rPr>
          <w:rFonts w:asciiTheme="minorHAnsi" w:hAnsiTheme="minorHAnsi"/>
          <w:color w:val="auto"/>
          <w:sz w:val="22"/>
          <w:szCs w:val="22"/>
        </w:rPr>
        <w:t xml:space="preserve"> (</w:t>
      </w:r>
      <w:r w:rsidR="00A653E6" w:rsidRPr="00765EC5">
        <w:rPr>
          <w:rFonts w:asciiTheme="minorHAnsi" w:hAnsiTheme="minorHAnsi"/>
          <w:color w:val="auto"/>
          <w:sz w:val="22"/>
          <w:szCs w:val="22"/>
        </w:rPr>
        <w:t>45</w:t>
      </w:r>
      <w:r w:rsidR="00A653E6">
        <w:rPr>
          <w:rFonts w:asciiTheme="minorHAnsi" w:hAnsiTheme="minorHAnsi"/>
          <w:color w:val="auto"/>
          <w:sz w:val="22"/>
          <w:szCs w:val="22"/>
        </w:rPr>
        <w:t> </w:t>
      </w:r>
      <w:r w:rsidR="00A653E6" w:rsidRPr="00765EC5">
        <w:rPr>
          <w:rFonts w:asciiTheme="minorHAnsi" w:hAnsiTheme="minorHAnsi"/>
          <w:color w:val="auto"/>
          <w:sz w:val="22"/>
          <w:szCs w:val="22"/>
        </w:rPr>
        <w:t>per</w:t>
      </w:r>
      <w:r w:rsidR="00A653E6">
        <w:rPr>
          <w:rFonts w:asciiTheme="minorHAnsi" w:hAnsiTheme="minorHAnsi"/>
          <w:color w:val="auto"/>
          <w:sz w:val="22"/>
          <w:szCs w:val="22"/>
        </w:rPr>
        <w:t> </w:t>
      </w:r>
      <w:r w:rsidR="001A43D1" w:rsidRPr="00765EC5">
        <w:rPr>
          <w:rFonts w:asciiTheme="minorHAnsi" w:hAnsiTheme="minorHAnsi"/>
          <w:color w:val="auto"/>
          <w:sz w:val="22"/>
          <w:szCs w:val="22"/>
        </w:rPr>
        <w:t>cent ‘very satisfied’ and 38 per cent ‘somewhat satisfied’</w:t>
      </w:r>
      <w:r w:rsidR="00C71AEC">
        <w:rPr>
          <w:rFonts w:asciiTheme="minorHAnsi" w:hAnsiTheme="minorHAnsi"/>
          <w:color w:val="auto"/>
          <w:sz w:val="22"/>
          <w:szCs w:val="22"/>
        </w:rPr>
        <w:t>)</w:t>
      </w:r>
      <w:r w:rsidR="001A43D1" w:rsidRPr="00765EC5">
        <w:rPr>
          <w:rFonts w:asciiTheme="minorHAnsi" w:hAnsiTheme="minorHAnsi"/>
          <w:color w:val="auto"/>
          <w:sz w:val="22"/>
          <w:szCs w:val="22"/>
        </w:rPr>
        <w:t xml:space="preserve">. </w:t>
      </w:r>
      <w:bookmarkStart w:id="25" w:name="_Toc497215472"/>
      <w:bookmarkEnd w:id="24"/>
      <w:r w:rsidR="004D72E0">
        <w:rPr>
          <w:rFonts w:asciiTheme="minorHAnsi" w:hAnsiTheme="minorHAnsi"/>
          <w:color w:val="auto"/>
          <w:sz w:val="22"/>
          <w:szCs w:val="22"/>
        </w:rPr>
        <w:t xml:space="preserve"> </w:t>
      </w:r>
    </w:p>
    <w:p w14:paraId="4724038C" w14:textId="528D7672" w:rsidR="00C30E2A" w:rsidRDefault="004D72E0" w:rsidP="00C3530A">
      <w:pPr>
        <w:pStyle w:val="ListParagraph"/>
        <w:numPr>
          <w:ilvl w:val="0"/>
          <w:numId w:val="29"/>
        </w:numPr>
        <w:spacing w:before="0" w:after="0"/>
        <w:ind w:left="425" w:hanging="425"/>
        <w:contextualSpacing w:val="0"/>
        <w:rPr>
          <w:rFonts w:asciiTheme="minorHAnsi" w:hAnsiTheme="minorHAnsi"/>
          <w:color w:val="auto"/>
          <w:sz w:val="22"/>
          <w:szCs w:val="22"/>
        </w:rPr>
      </w:pPr>
      <w:r w:rsidRPr="004D72E0">
        <w:rPr>
          <w:rFonts w:asciiTheme="minorHAnsi" w:hAnsiTheme="minorHAnsi"/>
          <w:color w:val="auto"/>
          <w:sz w:val="22"/>
          <w:szCs w:val="22"/>
        </w:rPr>
        <w:t xml:space="preserve">Regarding NOPTA decisions, respondents </w:t>
      </w:r>
      <w:r w:rsidR="00A653E6">
        <w:rPr>
          <w:rFonts w:asciiTheme="minorHAnsi" w:hAnsiTheme="minorHAnsi"/>
          <w:color w:val="auto"/>
          <w:sz w:val="22"/>
          <w:szCs w:val="22"/>
        </w:rPr>
        <w:t xml:space="preserve">to the survey </w:t>
      </w:r>
      <w:r w:rsidRPr="004D72E0">
        <w:rPr>
          <w:rFonts w:asciiTheme="minorHAnsi" w:hAnsiTheme="minorHAnsi"/>
          <w:color w:val="auto"/>
          <w:sz w:val="22"/>
          <w:szCs w:val="22"/>
        </w:rPr>
        <w:t>indicate</w:t>
      </w:r>
      <w:r w:rsidR="00A653E6">
        <w:rPr>
          <w:rFonts w:asciiTheme="minorHAnsi" w:hAnsiTheme="minorHAnsi"/>
          <w:color w:val="auto"/>
          <w:sz w:val="22"/>
          <w:szCs w:val="22"/>
        </w:rPr>
        <w:t>d</w:t>
      </w:r>
      <w:r w:rsidRPr="004D72E0">
        <w:rPr>
          <w:rFonts w:asciiTheme="minorHAnsi" w:hAnsiTheme="minorHAnsi"/>
          <w:color w:val="auto"/>
          <w:sz w:val="22"/>
          <w:szCs w:val="22"/>
        </w:rPr>
        <w:t xml:space="preserve"> that these were often consistent (54 per cent), transparent (50 per cent) and predictable (50 per cent).</w:t>
      </w:r>
      <w:r>
        <w:rPr>
          <w:rFonts w:asciiTheme="minorHAnsi" w:hAnsiTheme="minorHAnsi"/>
          <w:color w:val="auto"/>
          <w:sz w:val="22"/>
          <w:szCs w:val="22"/>
        </w:rPr>
        <w:t xml:space="preserve"> </w:t>
      </w:r>
    </w:p>
    <w:p w14:paraId="5EBE7599" w14:textId="1EC3586D" w:rsidR="004D72E0" w:rsidRPr="004D72E0" w:rsidRDefault="004D72E0" w:rsidP="00C3530A">
      <w:pPr>
        <w:pStyle w:val="ListParagraph"/>
        <w:numPr>
          <w:ilvl w:val="1"/>
          <w:numId w:val="47"/>
        </w:numPr>
        <w:spacing w:before="0" w:after="120"/>
        <w:ind w:left="1134" w:hanging="425"/>
        <w:contextualSpacing w:val="0"/>
        <w:rPr>
          <w:rFonts w:asciiTheme="minorHAnsi" w:hAnsiTheme="minorHAnsi"/>
          <w:color w:val="auto"/>
          <w:sz w:val="22"/>
          <w:szCs w:val="22"/>
        </w:rPr>
      </w:pPr>
      <w:r>
        <w:rPr>
          <w:rFonts w:asciiTheme="minorHAnsi" w:hAnsiTheme="minorHAnsi"/>
          <w:color w:val="auto"/>
          <w:sz w:val="22"/>
          <w:szCs w:val="22"/>
        </w:rPr>
        <w:t>Th</w:t>
      </w:r>
      <w:r w:rsidR="00A653E6">
        <w:rPr>
          <w:rFonts w:asciiTheme="minorHAnsi" w:hAnsiTheme="minorHAnsi"/>
          <w:color w:val="auto"/>
          <w:sz w:val="22"/>
          <w:szCs w:val="22"/>
        </w:rPr>
        <w:t xml:space="preserve">ese results </w:t>
      </w:r>
      <w:r>
        <w:rPr>
          <w:rFonts w:asciiTheme="minorHAnsi" w:hAnsiTheme="minorHAnsi"/>
          <w:color w:val="auto"/>
          <w:sz w:val="22"/>
          <w:szCs w:val="22"/>
        </w:rPr>
        <w:t xml:space="preserve">indicate an area of future focus for NOPTA, particularly in relation </w:t>
      </w:r>
      <w:r w:rsidR="002F63DC">
        <w:rPr>
          <w:rFonts w:asciiTheme="minorHAnsi" w:hAnsiTheme="minorHAnsi"/>
          <w:color w:val="auto"/>
          <w:sz w:val="22"/>
          <w:szCs w:val="22"/>
        </w:rPr>
        <w:t>to</w:t>
      </w:r>
      <w:r w:rsidR="00EA2AF3">
        <w:rPr>
          <w:rFonts w:asciiTheme="minorHAnsi" w:hAnsiTheme="minorHAnsi"/>
          <w:color w:val="auto"/>
          <w:sz w:val="22"/>
          <w:szCs w:val="22"/>
        </w:rPr>
        <w:t xml:space="preserve"> processes and expectation around petroleum title </w:t>
      </w:r>
      <w:r>
        <w:rPr>
          <w:rFonts w:asciiTheme="minorHAnsi" w:hAnsiTheme="minorHAnsi"/>
          <w:color w:val="auto"/>
          <w:sz w:val="22"/>
          <w:szCs w:val="22"/>
        </w:rPr>
        <w:t>dealing</w:t>
      </w:r>
      <w:r w:rsidR="00EA2AF3">
        <w:rPr>
          <w:rFonts w:asciiTheme="minorHAnsi" w:hAnsiTheme="minorHAnsi"/>
          <w:color w:val="auto"/>
          <w:sz w:val="22"/>
          <w:szCs w:val="22"/>
        </w:rPr>
        <w:t xml:space="preserve">s (see KPI </w:t>
      </w:r>
      <w:r w:rsidR="001E76F2">
        <w:rPr>
          <w:rFonts w:asciiTheme="minorHAnsi" w:hAnsiTheme="minorHAnsi"/>
          <w:color w:val="auto"/>
          <w:sz w:val="22"/>
          <w:szCs w:val="22"/>
        </w:rPr>
        <w:t>4</w:t>
      </w:r>
      <w:r w:rsidR="00EA2AF3">
        <w:rPr>
          <w:rFonts w:asciiTheme="minorHAnsi" w:hAnsiTheme="minorHAnsi"/>
          <w:color w:val="auto"/>
          <w:sz w:val="22"/>
          <w:szCs w:val="22"/>
        </w:rPr>
        <w:t>)</w:t>
      </w:r>
      <w:r>
        <w:rPr>
          <w:rFonts w:asciiTheme="minorHAnsi" w:hAnsiTheme="minorHAnsi"/>
          <w:color w:val="auto"/>
          <w:sz w:val="22"/>
          <w:szCs w:val="22"/>
        </w:rPr>
        <w:t xml:space="preserve">. </w:t>
      </w:r>
    </w:p>
    <w:p w14:paraId="448251C9" w14:textId="1824291A" w:rsidR="00D07A58" w:rsidRDefault="00D07A58" w:rsidP="00C3530A">
      <w:pPr>
        <w:pStyle w:val="ListParagraph"/>
        <w:numPr>
          <w:ilvl w:val="0"/>
          <w:numId w:val="29"/>
        </w:numPr>
        <w:spacing w:before="0" w:after="120"/>
        <w:ind w:left="426" w:hanging="426"/>
        <w:contextualSpacing w:val="0"/>
        <w:rPr>
          <w:rFonts w:asciiTheme="minorHAnsi" w:hAnsiTheme="minorHAnsi"/>
          <w:color w:val="auto"/>
          <w:sz w:val="22"/>
          <w:szCs w:val="22"/>
        </w:rPr>
      </w:pPr>
      <w:r w:rsidRPr="00653B68">
        <w:rPr>
          <w:rFonts w:asciiTheme="minorHAnsi" w:hAnsiTheme="minorHAnsi"/>
          <w:color w:val="auto"/>
          <w:sz w:val="22"/>
          <w:szCs w:val="22"/>
        </w:rPr>
        <w:t>A core function of NOPTA is</w:t>
      </w:r>
      <w:r w:rsidR="00661318">
        <w:rPr>
          <w:rFonts w:asciiTheme="minorHAnsi" w:hAnsiTheme="minorHAnsi"/>
          <w:color w:val="auto"/>
          <w:sz w:val="22"/>
          <w:szCs w:val="22"/>
        </w:rPr>
        <w:t xml:space="preserve"> to</w:t>
      </w:r>
      <w:r w:rsidRPr="00653B68">
        <w:rPr>
          <w:rFonts w:asciiTheme="minorHAnsi" w:hAnsiTheme="minorHAnsi"/>
          <w:color w:val="auto"/>
          <w:sz w:val="22"/>
          <w:szCs w:val="22"/>
        </w:rPr>
        <w:t xml:space="preserve"> provid</w:t>
      </w:r>
      <w:r w:rsidR="00661318">
        <w:rPr>
          <w:rFonts w:asciiTheme="minorHAnsi" w:hAnsiTheme="minorHAnsi"/>
          <w:color w:val="auto"/>
          <w:sz w:val="22"/>
          <w:szCs w:val="22"/>
        </w:rPr>
        <w:t>e</w:t>
      </w:r>
      <w:r w:rsidRPr="00653B68">
        <w:rPr>
          <w:rFonts w:asciiTheme="minorHAnsi" w:hAnsiTheme="minorHAnsi"/>
          <w:color w:val="auto"/>
          <w:sz w:val="22"/>
          <w:szCs w:val="22"/>
        </w:rPr>
        <w:t xml:space="preserve"> advice to the Joint Authori</w:t>
      </w:r>
      <w:r w:rsidR="00054669">
        <w:rPr>
          <w:rFonts w:asciiTheme="minorHAnsi" w:hAnsiTheme="minorHAnsi"/>
          <w:color w:val="auto"/>
          <w:sz w:val="22"/>
          <w:szCs w:val="22"/>
        </w:rPr>
        <w:t>t</w:t>
      </w:r>
      <w:r w:rsidR="00C30E2A">
        <w:rPr>
          <w:rFonts w:asciiTheme="minorHAnsi" w:hAnsiTheme="minorHAnsi"/>
          <w:color w:val="auto"/>
          <w:sz w:val="22"/>
          <w:szCs w:val="22"/>
        </w:rPr>
        <w:t>ies</w:t>
      </w:r>
      <w:r w:rsidRPr="00653B68">
        <w:rPr>
          <w:rFonts w:asciiTheme="minorHAnsi" w:hAnsiTheme="minorHAnsi"/>
          <w:color w:val="auto"/>
          <w:sz w:val="22"/>
          <w:szCs w:val="22"/>
        </w:rPr>
        <w:t xml:space="preserve">. </w:t>
      </w:r>
      <w:r w:rsidRPr="00D07A58">
        <w:rPr>
          <w:rFonts w:asciiTheme="minorHAnsi" w:hAnsiTheme="minorHAnsi"/>
          <w:color w:val="auto"/>
          <w:sz w:val="22"/>
          <w:szCs w:val="22"/>
        </w:rPr>
        <w:t>In relation to</w:t>
      </w:r>
      <w:r w:rsidR="00661318">
        <w:rPr>
          <w:rFonts w:asciiTheme="minorHAnsi" w:hAnsiTheme="minorHAnsi"/>
          <w:color w:val="auto"/>
          <w:sz w:val="22"/>
          <w:szCs w:val="22"/>
        </w:rPr>
        <w:t xml:space="preserve"> NOPTA processes that </w:t>
      </w:r>
      <w:r w:rsidR="00903039">
        <w:rPr>
          <w:rFonts w:asciiTheme="minorHAnsi" w:hAnsiTheme="minorHAnsi"/>
          <w:color w:val="auto"/>
          <w:sz w:val="22"/>
          <w:szCs w:val="22"/>
        </w:rPr>
        <w:t>inform</w:t>
      </w:r>
      <w:r w:rsidRPr="00D07A58">
        <w:rPr>
          <w:rFonts w:asciiTheme="minorHAnsi" w:hAnsiTheme="minorHAnsi"/>
          <w:color w:val="auto"/>
          <w:sz w:val="22"/>
          <w:szCs w:val="22"/>
        </w:rPr>
        <w:t xml:space="preserve"> Joint Authority decision making, 69 per cent of</w:t>
      </w:r>
      <w:r w:rsidR="00F41918">
        <w:rPr>
          <w:rFonts w:asciiTheme="minorHAnsi" w:hAnsiTheme="minorHAnsi"/>
          <w:color w:val="auto"/>
          <w:sz w:val="22"/>
          <w:szCs w:val="22"/>
        </w:rPr>
        <w:t xml:space="preserve"> government stakeholder</w:t>
      </w:r>
      <w:r w:rsidR="00054669">
        <w:rPr>
          <w:rFonts w:asciiTheme="minorHAnsi" w:hAnsiTheme="minorHAnsi"/>
          <w:color w:val="auto"/>
          <w:sz w:val="22"/>
          <w:szCs w:val="22"/>
        </w:rPr>
        <w:t xml:space="preserve"> respondents indicated they </w:t>
      </w:r>
      <w:r w:rsidRPr="00D07A58">
        <w:rPr>
          <w:rFonts w:asciiTheme="minorHAnsi" w:hAnsiTheme="minorHAnsi"/>
          <w:color w:val="auto"/>
          <w:sz w:val="22"/>
          <w:szCs w:val="22"/>
        </w:rPr>
        <w:t xml:space="preserve">were </w:t>
      </w:r>
      <w:r w:rsidR="00C30E2A">
        <w:rPr>
          <w:rFonts w:asciiTheme="minorHAnsi" w:hAnsiTheme="minorHAnsi"/>
          <w:color w:val="auto"/>
          <w:sz w:val="22"/>
          <w:szCs w:val="22"/>
        </w:rPr>
        <w:t>‘</w:t>
      </w:r>
      <w:r w:rsidRPr="00D07A58">
        <w:rPr>
          <w:rFonts w:asciiTheme="minorHAnsi" w:hAnsiTheme="minorHAnsi"/>
          <w:color w:val="auto"/>
          <w:sz w:val="22"/>
          <w:szCs w:val="22"/>
        </w:rPr>
        <w:t>very satisfied</w:t>
      </w:r>
      <w:r w:rsidR="00C30E2A">
        <w:rPr>
          <w:rFonts w:asciiTheme="minorHAnsi" w:hAnsiTheme="minorHAnsi"/>
          <w:color w:val="auto"/>
          <w:sz w:val="22"/>
          <w:szCs w:val="22"/>
        </w:rPr>
        <w:t>’</w:t>
      </w:r>
      <w:r w:rsidRPr="00D07A58">
        <w:rPr>
          <w:rFonts w:asciiTheme="minorHAnsi" w:hAnsiTheme="minorHAnsi"/>
          <w:color w:val="auto"/>
          <w:sz w:val="22"/>
          <w:szCs w:val="22"/>
        </w:rPr>
        <w:t xml:space="preserve"> with the accuracy of the information, while </w:t>
      </w:r>
      <w:r w:rsidR="00CD3FED" w:rsidRPr="00D07A58">
        <w:rPr>
          <w:rFonts w:asciiTheme="minorHAnsi" w:hAnsiTheme="minorHAnsi"/>
          <w:color w:val="auto"/>
          <w:sz w:val="22"/>
          <w:szCs w:val="22"/>
        </w:rPr>
        <w:t>54</w:t>
      </w:r>
      <w:r w:rsidR="00CD3FED">
        <w:rPr>
          <w:rFonts w:asciiTheme="minorHAnsi" w:hAnsiTheme="minorHAnsi"/>
          <w:color w:val="auto"/>
          <w:sz w:val="22"/>
          <w:szCs w:val="22"/>
        </w:rPr>
        <w:t> </w:t>
      </w:r>
      <w:r w:rsidR="00CD3FED" w:rsidRPr="00D07A58">
        <w:rPr>
          <w:rFonts w:asciiTheme="minorHAnsi" w:hAnsiTheme="minorHAnsi"/>
          <w:color w:val="auto"/>
          <w:sz w:val="22"/>
          <w:szCs w:val="22"/>
        </w:rPr>
        <w:t>per</w:t>
      </w:r>
      <w:r w:rsidR="00CD3FED">
        <w:rPr>
          <w:rFonts w:asciiTheme="minorHAnsi" w:hAnsiTheme="minorHAnsi"/>
          <w:color w:val="auto"/>
          <w:sz w:val="22"/>
          <w:szCs w:val="22"/>
        </w:rPr>
        <w:t> </w:t>
      </w:r>
      <w:r w:rsidRPr="00D07A58">
        <w:rPr>
          <w:rFonts w:asciiTheme="minorHAnsi" w:hAnsiTheme="minorHAnsi"/>
          <w:color w:val="auto"/>
          <w:sz w:val="22"/>
          <w:szCs w:val="22"/>
        </w:rPr>
        <w:t xml:space="preserve">cent were </w:t>
      </w:r>
      <w:r w:rsidR="00C30E2A">
        <w:rPr>
          <w:rFonts w:asciiTheme="minorHAnsi" w:hAnsiTheme="minorHAnsi"/>
          <w:color w:val="auto"/>
          <w:sz w:val="22"/>
          <w:szCs w:val="22"/>
        </w:rPr>
        <w:t>‘</w:t>
      </w:r>
      <w:r w:rsidRPr="00D07A58">
        <w:rPr>
          <w:rFonts w:asciiTheme="minorHAnsi" w:hAnsiTheme="minorHAnsi"/>
          <w:color w:val="auto"/>
          <w:sz w:val="22"/>
          <w:szCs w:val="22"/>
        </w:rPr>
        <w:t>very satisfied</w:t>
      </w:r>
      <w:r w:rsidR="00C30E2A">
        <w:rPr>
          <w:rFonts w:asciiTheme="minorHAnsi" w:hAnsiTheme="minorHAnsi"/>
          <w:color w:val="auto"/>
          <w:sz w:val="22"/>
          <w:szCs w:val="22"/>
        </w:rPr>
        <w:t>’</w:t>
      </w:r>
      <w:r w:rsidRPr="00D07A58">
        <w:rPr>
          <w:rFonts w:asciiTheme="minorHAnsi" w:hAnsiTheme="minorHAnsi"/>
          <w:color w:val="auto"/>
          <w:sz w:val="22"/>
          <w:szCs w:val="22"/>
        </w:rPr>
        <w:t xml:space="preserve"> with both the consistency and supportability of NOPTA’s recommendations.</w:t>
      </w:r>
    </w:p>
    <w:p w14:paraId="2EE4624B" w14:textId="6B9E95A5" w:rsidR="000743C1" w:rsidRDefault="00685724" w:rsidP="000743C1">
      <w:pPr>
        <w:pStyle w:val="ListParagraph"/>
        <w:numPr>
          <w:ilvl w:val="0"/>
          <w:numId w:val="29"/>
        </w:numPr>
        <w:spacing w:before="0" w:after="0"/>
        <w:ind w:left="425" w:hanging="425"/>
        <w:contextualSpacing w:val="0"/>
        <w:rPr>
          <w:rFonts w:asciiTheme="minorHAnsi" w:hAnsiTheme="minorHAnsi"/>
          <w:color w:val="auto"/>
          <w:sz w:val="22"/>
          <w:szCs w:val="22"/>
        </w:rPr>
      </w:pPr>
      <w:r>
        <w:rPr>
          <w:rFonts w:asciiTheme="minorHAnsi" w:hAnsiTheme="minorHAnsi"/>
          <w:color w:val="auto"/>
          <w:sz w:val="22"/>
          <w:szCs w:val="22"/>
        </w:rPr>
        <w:t xml:space="preserve">To further improve consistency, transparency and control of </w:t>
      </w:r>
      <w:r w:rsidR="006D2B96">
        <w:rPr>
          <w:rFonts w:asciiTheme="minorHAnsi" w:hAnsiTheme="minorHAnsi"/>
          <w:color w:val="auto"/>
          <w:sz w:val="22"/>
          <w:szCs w:val="22"/>
        </w:rPr>
        <w:t xml:space="preserve">its </w:t>
      </w:r>
      <w:r>
        <w:rPr>
          <w:rFonts w:asciiTheme="minorHAnsi" w:hAnsiTheme="minorHAnsi"/>
          <w:color w:val="auto"/>
          <w:sz w:val="22"/>
          <w:szCs w:val="22"/>
        </w:rPr>
        <w:t xml:space="preserve">standard operating documents, </w:t>
      </w:r>
      <w:r w:rsidR="00405138">
        <w:rPr>
          <w:rFonts w:asciiTheme="minorHAnsi" w:hAnsiTheme="minorHAnsi"/>
          <w:color w:val="auto"/>
          <w:sz w:val="22"/>
          <w:szCs w:val="22"/>
        </w:rPr>
        <w:t xml:space="preserve">NOPTA commenced </w:t>
      </w:r>
      <w:r w:rsidR="00405138" w:rsidRPr="0082057A">
        <w:rPr>
          <w:rFonts w:asciiTheme="minorHAnsi" w:hAnsiTheme="minorHAnsi"/>
          <w:color w:val="auto"/>
          <w:sz w:val="22"/>
          <w:szCs w:val="22"/>
        </w:rPr>
        <w:t xml:space="preserve">a comprehensive </w:t>
      </w:r>
      <w:r w:rsidR="00405138">
        <w:rPr>
          <w:rFonts w:asciiTheme="minorHAnsi" w:hAnsiTheme="minorHAnsi"/>
          <w:color w:val="auto"/>
          <w:sz w:val="22"/>
          <w:szCs w:val="22"/>
        </w:rPr>
        <w:t>r</w:t>
      </w:r>
      <w:r w:rsidR="00405138" w:rsidRPr="0082057A">
        <w:rPr>
          <w:rFonts w:asciiTheme="minorHAnsi" w:hAnsiTheme="minorHAnsi"/>
          <w:color w:val="auto"/>
          <w:sz w:val="22"/>
          <w:szCs w:val="22"/>
        </w:rPr>
        <w:t xml:space="preserve">eview and update of </w:t>
      </w:r>
      <w:r w:rsidR="00405138">
        <w:rPr>
          <w:rFonts w:asciiTheme="minorHAnsi" w:hAnsiTheme="minorHAnsi"/>
          <w:color w:val="auto"/>
          <w:sz w:val="22"/>
          <w:szCs w:val="22"/>
        </w:rPr>
        <w:t>its</w:t>
      </w:r>
      <w:r w:rsidR="00405138" w:rsidRPr="0082057A">
        <w:rPr>
          <w:rFonts w:asciiTheme="minorHAnsi" w:hAnsiTheme="minorHAnsi"/>
          <w:color w:val="auto"/>
          <w:sz w:val="22"/>
          <w:szCs w:val="22"/>
        </w:rPr>
        <w:t xml:space="preserve"> internal processes and procedures</w:t>
      </w:r>
      <w:r w:rsidR="00DD3B8F">
        <w:rPr>
          <w:rFonts w:asciiTheme="minorHAnsi" w:hAnsiTheme="minorHAnsi"/>
          <w:color w:val="auto"/>
          <w:sz w:val="22"/>
          <w:szCs w:val="22"/>
        </w:rPr>
        <w:t xml:space="preserve"> in relation</w:t>
      </w:r>
      <w:r w:rsidR="00A754D2">
        <w:rPr>
          <w:rFonts w:asciiTheme="minorHAnsi" w:hAnsiTheme="minorHAnsi"/>
          <w:color w:val="auto"/>
          <w:sz w:val="22"/>
          <w:szCs w:val="22"/>
        </w:rPr>
        <w:t xml:space="preserve"> to</w:t>
      </w:r>
      <w:r w:rsidR="00DD3B8F">
        <w:rPr>
          <w:rFonts w:asciiTheme="minorHAnsi" w:hAnsiTheme="minorHAnsi"/>
          <w:color w:val="auto"/>
          <w:sz w:val="22"/>
          <w:szCs w:val="22"/>
        </w:rPr>
        <w:t xml:space="preserve"> </w:t>
      </w:r>
      <w:r>
        <w:rPr>
          <w:rFonts w:asciiTheme="minorHAnsi" w:hAnsiTheme="minorHAnsi"/>
          <w:color w:val="auto"/>
          <w:sz w:val="22"/>
          <w:szCs w:val="22"/>
        </w:rPr>
        <w:t xml:space="preserve">its </w:t>
      </w:r>
      <w:r w:rsidR="00DD3B8F">
        <w:rPr>
          <w:rFonts w:asciiTheme="minorHAnsi" w:hAnsiTheme="minorHAnsi"/>
          <w:color w:val="auto"/>
          <w:sz w:val="22"/>
          <w:szCs w:val="22"/>
        </w:rPr>
        <w:t>requirements under the OPGGS Act and PGPA Act</w:t>
      </w:r>
      <w:r w:rsidR="00405138" w:rsidRPr="0082057A">
        <w:rPr>
          <w:rFonts w:asciiTheme="minorHAnsi" w:hAnsiTheme="minorHAnsi"/>
          <w:color w:val="auto"/>
          <w:sz w:val="22"/>
          <w:szCs w:val="22"/>
        </w:rPr>
        <w:t xml:space="preserve">. </w:t>
      </w:r>
    </w:p>
    <w:p w14:paraId="7EAA7370" w14:textId="24D7454D" w:rsidR="00405138" w:rsidRDefault="00685724" w:rsidP="000743C1">
      <w:pPr>
        <w:pStyle w:val="ListParagraph"/>
        <w:numPr>
          <w:ilvl w:val="1"/>
          <w:numId w:val="47"/>
        </w:numPr>
        <w:spacing w:before="0" w:after="120"/>
        <w:ind w:left="1134" w:hanging="425"/>
        <w:contextualSpacing w:val="0"/>
        <w:rPr>
          <w:rFonts w:asciiTheme="minorHAnsi" w:hAnsiTheme="minorHAnsi"/>
          <w:color w:val="auto"/>
          <w:sz w:val="22"/>
          <w:szCs w:val="22"/>
        </w:rPr>
      </w:pPr>
      <w:r>
        <w:rPr>
          <w:rFonts w:asciiTheme="minorHAnsi" w:hAnsiTheme="minorHAnsi"/>
          <w:color w:val="auto"/>
          <w:sz w:val="22"/>
          <w:szCs w:val="22"/>
        </w:rPr>
        <w:t>During 2019-20 this will be further complemented by the introduction of</w:t>
      </w:r>
      <w:r w:rsidR="00A754D2">
        <w:rPr>
          <w:rFonts w:asciiTheme="minorHAnsi" w:hAnsiTheme="minorHAnsi"/>
          <w:color w:val="auto"/>
          <w:sz w:val="22"/>
          <w:szCs w:val="22"/>
        </w:rPr>
        <w:t xml:space="preserve"> an</w:t>
      </w:r>
      <w:r>
        <w:rPr>
          <w:rFonts w:asciiTheme="minorHAnsi" w:hAnsiTheme="minorHAnsi"/>
          <w:color w:val="auto"/>
          <w:sz w:val="22"/>
          <w:szCs w:val="22"/>
        </w:rPr>
        <w:t xml:space="preserve"> internal assurance review process to </w:t>
      </w:r>
      <w:r w:rsidR="000743C1">
        <w:rPr>
          <w:rFonts w:asciiTheme="minorHAnsi" w:hAnsiTheme="minorHAnsi"/>
          <w:color w:val="auto"/>
          <w:sz w:val="22"/>
          <w:szCs w:val="22"/>
        </w:rPr>
        <w:t>test NOPTA’s</w:t>
      </w:r>
      <w:r>
        <w:rPr>
          <w:rFonts w:asciiTheme="minorHAnsi" w:hAnsiTheme="minorHAnsi"/>
          <w:color w:val="auto"/>
          <w:sz w:val="22"/>
          <w:szCs w:val="22"/>
        </w:rPr>
        <w:t xml:space="preserve"> ongoing adherence to</w:t>
      </w:r>
      <w:r w:rsidR="006D2B96">
        <w:rPr>
          <w:rFonts w:asciiTheme="minorHAnsi" w:hAnsiTheme="minorHAnsi"/>
          <w:color w:val="auto"/>
          <w:sz w:val="22"/>
          <w:szCs w:val="22"/>
        </w:rPr>
        <w:t xml:space="preserve"> legislative </w:t>
      </w:r>
      <w:r w:rsidR="003F52D0">
        <w:rPr>
          <w:rFonts w:asciiTheme="minorHAnsi" w:hAnsiTheme="minorHAnsi"/>
          <w:color w:val="auto"/>
          <w:sz w:val="22"/>
          <w:szCs w:val="22"/>
        </w:rPr>
        <w:t xml:space="preserve">and administrative </w:t>
      </w:r>
      <w:r w:rsidR="006D2B96">
        <w:rPr>
          <w:rFonts w:asciiTheme="minorHAnsi" w:hAnsiTheme="minorHAnsi"/>
          <w:color w:val="auto"/>
          <w:sz w:val="22"/>
          <w:szCs w:val="22"/>
        </w:rPr>
        <w:t>requirement</w:t>
      </w:r>
      <w:r w:rsidR="003F52D0">
        <w:rPr>
          <w:rFonts w:asciiTheme="minorHAnsi" w:hAnsiTheme="minorHAnsi"/>
          <w:color w:val="auto"/>
          <w:sz w:val="22"/>
          <w:szCs w:val="22"/>
        </w:rPr>
        <w:t>s</w:t>
      </w:r>
      <w:bookmarkStart w:id="26" w:name="_Hlk532907483"/>
      <w:r w:rsidR="005419BB">
        <w:rPr>
          <w:rFonts w:asciiTheme="minorHAnsi" w:hAnsiTheme="minorHAnsi"/>
          <w:color w:val="auto"/>
          <w:sz w:val="22"/>
          <w:szCs w:val="22"/>
        </w:rPr>
        <w:t xml:space="preserve">. </w:t>
      </w:r>
    </w:p>
    <w:bookmarkEnd w:id="26"/>
    <w:p w14:paraId="10DFD161" w14:textId="77777777" w:rsidR="0056757C" w:rsidRPr="0056757C" w:rsidRDefault="0056757C" w:rsidP="0056757C">
      <w:pPr>
        <w:pStyle w:val="ListParagraph"/>
        <w:numPr>
          <w:ilvl w:val="0"/>
          <w:numId w:val="29"/>
        </w:numPr>
        <w:spacing w:before="0" w:after="0"/>
        <w:ind w:left="425" w:hanging="425"/>
        <w:contextualSpacing w:val="0"/>
        <w:rPr>
          <w:rFonts w:asciiTheme="minorHAnsi" w:hAnsiTheme="minorHAnsi"/>
          <w:color w:val="auto"/>
          <w:sz w:val="22"/>
          <w:szCs w:val="22"/>
        </w:rPr>
      </w:pPr>
      <w:r w:rsidRPr="0056757C">
        <w:rPr>
          <w:rFonts w:asciiTheme="minorHAnsi" w:hAnsiTheme="minorHAnsi"/>
          <w:color w:val="auto"/>
          <w:sz w:val="22"/>
          <w:szCs w:val="22"/>
        </w:rPr>
        <w:t>During 2018-19 NOPTA participated in several cross-agency forums or events to discuss current and emerging issues, share ideas and implement improvement strategies in line with leading practice. These included:</w:t>
      </w:r>
    </w:p>
    <w:p w14:paraId="665BB213" w14:textId="170F33B7" w:rsidR="0056757C" w:rsidRDefault="0056757C" w:rsidP="0056757C">
      <w:pPr>
        <w:pStyle w:val="ListParagraph"/>
        <w:numPr>
          <w:ilvl w:val="1"/>
          <w:numId w:val="47"/>
        </w:numPr>
        <w:spacing w:before="0" w:after="120"/>
        <w:ind w:left="1134" w:hanging="425"/>
        <w:contextualSpacing w:val="0"/>
        <w:rPr>
          <w:rFonts w:asciiTheme="minorHAnsi" w:hAnsiTheme="minorHAnsi"/>
          <w:color w:val="auto"/>
          <w:sz w:val="22"/>
          <w:szCs w:val="22"/>
        </w:rPr>
      </w:pPr>
      <w:r>
        <w:rPr>
          <w:rFonts w:asciiTheme="minorHAnsi" w:hAnsiTheme="minorHAnsi"/>
          <w:color w:val="auto"/>
          <w:sz w:val="22"/>
          <w:szCs w:val="22"/>
        </w:rPr>
        <w:t xml:space="preserve">a skills </w:t>
      </w:r>
      <w:r w:rsidRPr="003514CC">
        <w:rPr>
          <w:rFonts w:asciiTheme="minorHAnsi" w:hAnsiTheme="minorHAnsi"/>
          <w:color w:val="auto"/>
          <w:sz w:val="22"/>
          <w:szCs w:val="22"/>
        </w:rPr>
        <w:t xml:space="preserve">exchange with United Kingdom and Norwegian petroleum regulators </w:t>
      </w:r>
      <w:r>
        <w:rPr>
          <w:rFonts w:asciiTheme="minorHAnsi" w:hAnsiTheme="minorHAnsi"/>
          <w:color w:val="auto"/>
          <w:sz w:val="22"/>
          <w:szCs w:val="22"/>
        </w:rPr>
        <w:t>(also see KPI 6)</w:t>
      </w:r>
    </w:p>
    <w:p w14:paraId="25EAB195" w14:textId="3D3FA71B" w:rsidR="0056757C" w:rsidRDefault="0056757C" w:rsidP="0056757C">
      <w:pPr>
        <w:pStyle w:val="ListParagraph"/>
        <w:numPr>
          <w:ilvl w:val="1"/>
          <w:numId w:val="47"/>
        </w:numPr>
        <w:spacing w:before="0" w:after="120"/>
        <w:ind w:left="1134" w:hanging="425"/>
        <w:contextualSpacing w:val="0"/>
        <w:rPr>
          <w:rFonts w:asciiTheme="minorHAnsi" w:hAnsiTheme="minorHAnsi"/>
          <w:color w:val="auto"/>
          <w:sz w:val="22"/>
          <w:szCs w:val="22"/>
        </w:rPr>
      </w:pPr>
      <w:r>
        <w:rPr>
          <w:rFonts w:asciiTheme="minorHAnsi" w:hAnsiTheme="minorHAnsi"/>
          <w:color w:val="auto"/>
          <w:sz w:val="22"/>
          <w:szCs w:val="22"/>
        </w:rPr>
        <w:lastRenderedPageBreak/>
        <w:t>t</w:t>
      </w:r>
      <w:r w:rsidRPr="0082057A">
        <w:rPr>
          <w:rFonts w:asciiTheme="minorHAnsi" w:hAnsiTheme="minorHAnsi"/>
          <w:color w:val="auto"/>
          <w:sz w:val="22"/>
          <w:szCs w:val="22"/>
        </w:rPr>
        <w:t>he International Regulators Forum (IRF) and the International Upstream Forum (IUF)</w:t>
      </w:r>
    </w:p>
    <w:p w14:paraId="56CF6C17" w14:textId="77777777" w:rsidR="0056757C" w:rsidRPr="0056757C" w:rsidRDefault="0056757C" w:rsidP="0056757C">
      <w:pPr>
        <w:pStyle w:val="ListParagraph"/>
        <w:numPr>
          <w:ilvl w:val="1"/>
          <w:numId w:val="47"/>
        </w:numPr>
        <w:spacing w:before="0" w:after="120"/>
        <w:ind w:left="1134" w:hanging="425"/>
        <w:contextualSpacing w:val="0"/>
        <w:rPr>
          <w:rFonts w:asciiTheme="minorHAnsi" w:hAnsiTheme="minorHAnsi"/>
          <w:color w:val="auto"/>
          <w:sz w:val="22"/>
          <w:szCs w:val="22"/>
        </w:rPr>
      </w:pPr>
      <w:r w:rsidRPr="0056757C">
        <w:rPr>
          <w:rFonts w:asciiTheme="minorHAnsi" w:hAnsiTheme="minorHAnsi"/>
          <w:color w:val="auto"/>
          <w:sz w:val="22"/>
          <w:szCs w:val="22"/>
        </w:rPr>
        <w:t xml:space="preserve">the Council of Australian Governments Energy Council, Upstream Petroleum Resources Working Group </w:t>
      </w:r>
    </w:p>
    <w:p w14:paraId="6E728F16" w14:textId="77777777" w:rsidR="0056757C" w:rsidRPr="0056757C" w:rsidRDefault="0056757C" w:rsidP="0056757C">
      <w:pPr>
        <w:pStyle w:val="ListParagraph"/>
        <w:numPr>
          <w:ilvl w:val="1"/>
          <w:numId w:val="47"/>
        </w:numPr>
        <w:spacing w:before="0" w:after="120"/>
        <w:ind w:left="1134" w:hanging="425"/>
        <w:contextualSpacing w:val="0"/>
        <w:rPr>
          <w:rFonts w:asciiTheme="minorHAnsi" w:hAnsiTheme="minorHAnsi"/>
          <w:color w:val="auto"/>
          <w:sz w:val="22"/>
          <w:szCs w:val="22"/>
        </w:rPr>
      </w:pPr>
      <w:r w:rsidRPr="0056757C">
        <w:rPr>
          <w:rFonts w:asciiTheme="minorHAnsi" w:hAnsiTheme="minorHAnsi"/>
          <w:color w:val="auto"/>
          <w:sz w:val="22"/>
          <w:szCs w:val="22"/>
        </w:rPr>
        <w:t>the Professional Petroleum Data Management, Regulatory Data Standards Committee</w:t>
      </w:r>
    </w:p>
    <w:p w14:paraId="3BE82BF0" w14:textId="44CEF387" w:rsidR="0056757C" w:rsidRPr="0056757C" w:rsidRDefault="0056757C" w:rsidP="0056757C">
      <w:pPr>
        <w:pStyle w:val="ListParagraph"/>
        <w:numPr>
          <w:ilvl w:val="1"/>
          <w:numId w:val="47"/>
        </w:numPr>
        <w:spacing w:before="0" w:after="120"/>
        <w:ind w:left="1134" w:hanging="425"/>
        <w:contextualSpacing w:val="0"/>
        <w:rPr>
          <w:rFonts w:asciiTheme="minorHAnsi" w:hAnsiTheme="minorHAnsi"/>
          <w:color w:val="auto"/>
          <w:sz w:val="22"/>
          <w:szCs w:val="22"/>
        </w:rPr>
      </w:pPr>
      <w:r w:rsidRPr="0056757C">
        <w:rPr>
          <w:rFonts w:asciiTheme="minorHAnsi" w:hAnsiTheme="minorHAnsi"/>
          <w:color w:val="auto"/>
          <w:sz w:val="22"/>
          <w:szCs w:val="22"/>
        </w:rPr>
        <w:t>collaborating with Geoscience Australia and WA Department of Mines, Industry Regulation and Safety on the operation of the</w:t>
      </w:r>
      <w:r w:rsidR="00B02A30">
        <w:rPr>
          <w:rFonts w:asciiTheme="minorHAnsi" w:hAnsiTheme="minorHAnsi"/>
          <w:color w:val="auto"/>
          <w:sz w:val="22"/>
          <w:szCs w:val="22"/>
        </w:rPr>
        <w:t xml:space="preserve"> </w:t>
      </w:r>
      <w:r w:rsidR="00B02A30" w:rsidRPr="00B02A30">
        <w:rPr>
          <w:rFonts w:asciiTheme="minorHAnsi" w:hAnsiTheme="minorHAnsi"/>
          <w:color w:val="auto"/>
          <w:sz w:val="22"/>
          <w:szCs w:val="22"/>
        </w:rPr>
        <w:t>National Offshore Petroleum Data and Core Repository</w:t>
      </w:r>
      <w:r w:rsidRPr="0056757C">
        <w:rPr>
          <w:rFonts w:asciiTheme="minorHAnsi" w:hAnsiTheme="minorHAnsi"/>
          <w:color w:val="auto"/>
          <w:sz w:val="22"/>
          <w:szCs w:val="22"/>
        </w:rPr>
        <w:t>; and on an improvement program for</w:t>
      </w:r>
      <w:r w:rsidR="00B02A30">
        <w:rPr>
          <w:rFonts w:asciiTheme="minorHAnsi" w:hAnsiTheme="minorHAnsi"/>
          <w:color w:val="auto"/>
          <w:sz w:val="22"/>
          <w:szCs w:val="22"/>
        </w:rPr>
        <w:t xml:space="preserve"> </w:t>
      </w:r>
      <w:r w:rsidR="00B02A30" w:rsidRPr="002533B6">
        <w:rPr>
          <w:rFonts w:asciiTheme="minorHAnsi" w:hAnsiTheme="minorHAnsi"/>
          <w:color w:val="auto"/>
          <w:sz w:val="22"/>
          <w:szCs w:val="22"/>
        </w:rPr>
        <w:t>National Offshore Petroleum Information Management System</w:t>
      </w:r>
      <w:r w:rsidRPr="0056757C">
        <w:rPr>
          <w:rFonts w:asciiTheme="minorHAnsi" w:hAnsiTheme="minorHAnsi"/>
          <w:color w:val="auto"/>
          <w:sz w:val="22"/>
          <w:szCs w:val="22"/>
        </w:rPr>
        <w:t xml:space="preserve"> </w:t>
      </w:r>
      <w:r w:rsidR="00B02A30">
        <w:rPr>
          <w:rFonts w:asciiTheme="minorHAnsi" w:hAnsiTheme="minorHAnsi"/>
          <w:color w:val="auto"/>
          <w:sz w:val="22"/>
          <w:szCs w:val="22"/>
        </w:rPr>
        <w:t>(</w:t>
      </w:r>
      <w:r w:rsidRPr="0056757C">
        <w:rPr>
          <w:rFonts w:asciiTheme="minorHAnsi" w:hAnsiTheme="minorHAnsi"/>
          <w:color w:val="auto"/>
          <w:sz w:val="22"/>
          <w:szCs w:val="22"/>
        </w:rPr>
        <w:t>NOPIMS</w:t>
      </w:r>
      <w:r w:rsidR="00B02A30">
        <w:rPr>
          <w:rFonts w:asciiTheme="minorHAnsi" w:hAnsiTheme="minorHAnsi"/>
          <w:color w:val="auto"/>
          <w:sz w:val="22"/>
          <w:szCs w:val="22"/>
        </w:rPr>
        <w:t>)</w:t>
      </w:r>
    </w:p>
    <w:p w14:paraId="47F05221" w14:textId="77777777" w:rsidR="0056757C" w:rsidRPr="0056757C" w:rsidRDefault="0056757C" w:rsidP="0056757C">
      <w:pPr>
        <w:spacing w:after="0"/>
      </w:pPr>
    </w:p>
    <w:p w14:paraId="02FEF15B" w14:textId="74860DCC" w:rsidR="006352F3" w:rsidRDefault="006352F3" w:rsidP="00C3530A">
      <w:pPr>
        <w:spacing w:after="0" w:line="240" w:lineRule="auto"/>
      </w:pPr>
    </w:p>
    <w:p w14:paraId="02892A30" w14:textId="6324262A" w:rsidR="006352F3" w:rsidRDefault="006352F3" w:rsidP="00C3530A">
      <w:pPr>
        <w:pBdr>
          <w:bottom w:val="single" w:sz="6" w:space="1" w:color="auto"/>
        </w:pBdr>
        <w:spacing w:after="0" w:line="240" w:lineRule="auto"/>
      </w:pPr>
    </w:p>
    <w:p w14:paraId="29EF462D" w14:textId="77777777" w:rsidR="006352F3" w:rsidRPr="006352F3" w:rsidRDefault="006352F3" w:rsidP="00C3530A">
      <w:pPr>
        <w:spacing w:after="0" w:line="240" w:lineRule="auto"/>
      </w:pPr>
    </w:p>
    <w:p w14:paraId="3BA5FACE" w14:textId="69937B03" w:rsidR="00451963" w:rsidRDefault="00451963" w:rsidP="00C3530A">
      <w:pPr>
        <w:spacing w:after="0" w:line="240" w:lineRule="auto"/>
      </w:pPr>
    </w:p>
    <w:p w14:paraId="723591C6" w14:textId="2675B8B2" w:rsidR="00772396" w:rsidRPr="006352F3" w:rsidRDefault="006F6665" w:rsidP="00C3530A">
      <w:pPr>
        <w:pStyle w:val="Heading2"/>
        <w:jc w:val="left"/>
        <w:rPr>
          <w:color w:val="1F4E79" w:themeColor="accent1" w:themeShade="80"/>
        </w:rPr>
      </w:pPr>
      <w:bookmarkStart w:id="27" w:name="_Toc20813182"/>
      <w:r w:rsidRPr="006352F3">
        <w:rPr>
          <w:color w:val="1F4E79" w:themeColor="accent1" w:themeShade="80"/>
        </w:rPr>
        <w:t>KPI 2: Communication with regulated entities is clear, targeted and effective</w:t>
      </w:r>
      <w:bookmarkStart w:id="28" w:name="_Toc497215473"/>
      <w:bookmarkEnd w:id="25"/>
      <w:bookmarkEnd w:id="27"/>
    </w:p>
    <w:p w14:paraId="0C265551" w14:textId="77777777" w:rsidR="006F6665" w:rsidRPr="006352F3" w:rsidRDefault="006F6665" w:rsidP="00C3530A">
      <w:pPr>
        <w:pStyle w:val="Heading3"/>
        <w:jc w:val="left"/>
        <w:rPr>
          <w:color w:val="1F4E79" w:themeColor="accent1" w:themeShade="80"/>
        </w:rPr>
      </w:pPr>
      <w:bookmarkStart w:id="29" w:name="_Toc20813183"/>
      <w:r w:rsidRPr="006352F3">
        <w:rPr>
          <w:color w:val="1F4E79" w:themeColor="accent1" w:themeShade="80"/>
        </w:rPr>
        <w:t>KPI Expectations</w:t>
      </w:r>
      <w:bookmarkEnd w:id="28"/>
      <w:bookmarkEnd w:id="29"/>
    </w:p>
    <w:p w14:paraId="658AE250" w14:textId="240DC384" w:rsidR="00772396" w:rsidRDefault="006F6665" w:rsidP="00C3530A">
      <w:pPr>
        <w:spacing w:after="0" w:line="240" w:lineRule="auto"/>
      </w:pPr>
      <w:r w:rsidRPr="00772396">
        <w:t xml:space="preserve">To communicate effectively with regulated entities so they understand what </w:t>
      </w:r>
      <w:r w:rsidR="00634AAD">
        <w:t>is required</w:t>
      </w:r>
      <w:r w:rsidRPr="00772396">
        <w:t>. The regulator provides clear and consistent information through various mediums including guidelines that explain why the information is required and how it is used. Effective communication supports compliance, regulatory feedback and continuous improvement.</w:t>
      </w:r>
      <w:bookmarkStart w:id="30" w:name="_Toc497215474"/>
    </w:p>
    <w:p w14:paraId="1C18F540" w14:textId="1507602E" w:rsidR="006F6665" w:rsidRPr="006352F3" w:rsidRDefault="006F6665" w:rsidP="00C3530A">
      <w:pPr>
        <w:pStyle w:val="Heading3"/>
        <w:jc w:val="left"/>
        <w:rPr>
          <w:color w:val="1F4E79" w:themeColor="accent1" w:themeShade="80"/>
        </w:rPr>
      </w:pPr>
      <w:bookmarkStart w:id="31" w:name="_Toc20813184"/>
      <w:r w:rsidRPr="006352F3">
        <w:rPr>
          <w:color w:val="1F4E79" w:themeColor="accent1" w:themeShade="80"/>
        </w:rPr>
        <w:t>NOPTA’s Approach</w:t>
      </w:r>
      <w:bookmarkEnd w:id="30"/>
      <w:bookmarkEnd w:id="31"/>
    </w:p>
    <w:p w14:paraId="04855818" w14:textId="2E0710F0" w:rsidR="005D63B0" w:rsidRPr="005D63B0" w:rsidRDefault="001E0BFA" w:rsidP="00C3530A">
      <w:pPr>
        <w:spacing w:line="240" w:lineRule="auto"/>
      </w:pPr>
      <w:r>
        <w:t>NOPTA</w:t>
      </w:r>
      <w:r w:rsidRPr="005D63B0">
        <w:t xml:space="preserve"> </w:t>
      </w:r>
      <w:r w:rsidR="005D63B0" w:rsidRPr="005D63B0">
        <w:t>use</w:t>
      </w:r>
      <w:r>
        <w:t>s</w:t>
      </w:r>
      <w:r w:rsidR="005D63B0" w:rsidRPr="005D63B0">
        <w:t xml:space="preserve"> a variety of </w:t>
      </w:r>
      <w:r w:rsidR="00C30E2A">
        <w:t>approaches</w:t>
      </w:r>
      <w:r w:rsidR="00C30E2A" w:rsidRPr="005D63B0">
        <w:t xml:space="preserve"> </w:t>
      </w:r>
      <w:r w:rsidR="005D63B0" w:rsidRPr="005D63B0">
        <w:t>to engage with stakeholders</w:t>
      </w:r>
      <w:r w:rsidR="00C30E2A">
        <w:t>, including</w:t>
      </w:r>
      <w:r w:rsidR="005D63B0" w:rsidRPr="005D63B0">
        <w:t xml:space="preserve"> face-to-face meetings, attending industry conferences</w:t>
      </w:r>
      <w:r w:rsidR="00C30E2A">
        <w:t xml:space="preserve">, </w:t>
      </w:r>
      <w:r w:rsidR="00755B9A">
        <w:t>publishing guidance material</w:t>
      </w:r>
      <w:r w:rsidR="005D63B0" w:rsidRPr="005D63B0">
        <w:t xml:space="preserve"> </w:t>
      </w:r>
      <w:r w:rsidR="00755B9A">
        <w:t>(</w:t>
      </w:r>
      <w:r w:rsidR="00A630C1">
        <w:t>such as</w:t>
      </w:r>
      <w:r w:rsidR="005D63B0" w:rsidRPr="005D63B0">
        <w:t xml:space="preserve"> guidelines, factsheets</w:t>
      </w:r>
      <w:r w:rsidR="00634AAD">
        <w:t xml:space="preserve"> and tutorial videos</w:t>
      </w:r>
      <w:r w:rsidR="00755B9A">
        <w:t>)</w:t>
      </w:r>
      <w:r w:rsidR="005D63B0" w:rsidRPr="005D63B0">
        <w:t xml:space="preserve"> and </w:t>
      </w:r>
      <w:r w:rsidR="00F81402">
        <w:t>quarterly</w:t>
      </w:r>
      <w:r w:rsidR="005D63B0" w:rsidRPr="005D63B0">
        <w:t xml:space="preserve"> performance statistics on </w:t>
      </w:r>
      <w:r>
        <w:t>its</w:t>
      </w:r>
      <w:r w:rsidRPr="005D63B0">
        <w:t xml:space="preserve"> </w:t>
      </w:r>
      <w:r w:rsidR="005D63B0" w:rsidRPr="005D63B0">
        <w:t xml:space="preserve">website. Regular contact </w:t>
      </w:r>
      <w:r w:rsidR="00755B9A">
        <w:t xml:space="preserve">with </w:t>
      </w:r>
      <w:r w:rsidR="00E06226">
        <w:t>titleholders</w:t>
      </w:r>
      <w:r w:rsidR="00755B9A">
        <w:t xml:space="preserve"> </w:t>
      </w:r>
      <w:r w:rsidR="005D63B0" w:rsidRPr="005D63B0">
        <w:t>helps to build a shared understanding of issues and provides opportunit</w:t>
      </w:r>
      <w:r w:rsidR="00755B9A">
        <w:t>y</w:t>
      </w:r>
      <w:r w:rsidR="005D63B0" w:rsidRPr="005D63B0">
        <w:t xml:space="preserve"> to raise</w:t>
      </w:r>
      <w:r w:rsidR="00755B9A">
        <w:t>, clarify or address</w:t>
      </w:r>
      <w:r w:rsidR="005D63B0" w:rsidRPr="005D63B0">
        <w:t xml:space="preserve"> </w:t>
      </w:r>
      <w:r w:rsidR="00755B9A">
        <w:t>concerns as they arise</w:t>
      </w:r>
      <w:r w:rsidR="005D63B0" w:rsidRPr="005D63B0">
        <w:t xml:space="preserve">. </w:t>
      </w:r>
    </w:p>
    <w:p w14:paraId="0A913AE8" w14:textId="77777777" w:rsidR="006F6665" w:rsidRPr="00B138B1" w:rsidRDefault="006F6665" w:rsidP="00C3530A">
      <w:pPr>
        <w:spacing w:line="240" w:lineRule="auto"/>
        <w:rPr>
          <w:b/>
        </w:rPr>
      </w:pPr>
      <w:bookmarkStart w:id="32" w:name="_Toc497215475"/>
      <w:r w:rsidRPr="00B138B1">
        <w:rPr>
          <w:b/>
        </w:rPr>
        <w:t>Results</w:t>
      </w:r>
      <w:bookmarkEnd w:id="32"/>
      <w:r w:rsidR="004821E4" w:rsidRPr="00B138B1">
        <w:rPr>
          <w:b/>
        </w:rPr>
        <w:t xml:space="preserve">: </w:t>
      </w:r>
      <w:r w:rsidR="004821E4" w:rsidRPr="00B138B1">
        <w:rPr>
          <w:b/>
        </w:rPr>
        <w:tab/>
      </w:r>
      <w:r w:rsidR="004821E4" w:rsidRPr="00B138B1">
        <w:rPr>
          <w:b/>
        </w:rPr>
        <w:fldChar w:fldCharType="begin">
          <w:ffData>
            <w:name w:val="Check1"/>
            <w:enabled/>
            <w:calcOnExit w:val="0"/>
            <w:checkBox>
              <w:sizeAuto/>
              <w:default w:val="1"/>
            </w:checkBox>
          </w:ffData>
        </w:fldChar>
      </w:r>
      <w:r w:rsidR="004821E4" w:rsidRPr="00B138B1">
        <w:rPr>
          <w:b/>
        </w:rPr>
        <w:instrText xml:space="preserve"> FORMCHECKBOX </w:instrText>
      </w:r>
      <w:r w:rsidR="0084660B">
        <w:rPr>
          <w:b/>
        </w:rPr>
      </w:r>
      <w:r w:rsidR="0084660B">
        <w:rPr>
          <w:b/>
        </w:rPr>
        <w:fldChar w:fldCharType="separate"/>
      </w:r>
      <w:r w:rsidR="004821E4" w:rsidRPr="00B138B1">
        <w:rPr>
          <w:b/>
        </w:rPr>
        <w:fldChar w:fldCharType="end"/>
      </w:r>
      <w:r w:rsidR="004821E4" w:rsidRPr="00B138B1">
        <w:rPr>
          <w:b/>
        </w:rPr>
        <w:t xml:space="preserve"> Met</w:t>
      </w:r>
      <w:r w:rsidR="004821E4" w:rsidRPr="00B138B1">
        <w:rPr>
          <w:b/>
        </w:rPr>
        <w:tab/>
      </w:r>
      <w:r w:rsidR="004821E4" w:rsidRPr="00B138B1">
        <w:rPr>
          <w:b/>
        </w:rPr>
        <w:tab/>
      </w:r>
      <w:r w:rsidR="004821E4" w:rsidRPr="00B138B1">
        <w:rPr>
          <w:b/>
        </w:rPr>
        <w:fldChar w:fldCharType="begin">
          <w:ffData>
            <w:name w:val="Check2"/>
            <w:enabled/>
            <w:calcOnExit w:val="0"/>
            <w:checkBox>
              <w:sizeAuto/>
              <w:default w:val="0"/>
            </w:checkBox>
          </w:ffData>
        </w:fldChar>
      </w:r>
      <w:r w:rsidR="004821E4" w:rsidRPr="00B138B1">
        <w:rPr>
          <w:b/>
        </w:rPr>
        <w:instrText xml:space="preserve"> FORMCHECKBOX </w:instrText>
      </w:r>
      <w:r w:rsidR="0084660B">
        <w:rPr>
          <w:b/>
        </w:rPr>
      </w:r>
      <w:r w:rsidR="0084660B">
        <w:rPr>
          <w:b/>
        </w:rPr>
        <w:fldChar w:fldCharType="separate"/>
      </w:r>
      <w:r w:rsidR="004821E4" w:rsidRPr="00B138B1">
        <w:rPr>
          <w:b/>
        </w:rPr>
        <w:fldChar w:fldCharType="end"/>
      </w:r>
      <w:r w:rsidR="004821E4" w:rsidRPr="00B138B1">
        <w:rPr>
          <w:b/>
        </w:rPr>
        <w:t xml:space="preserve"> Partially Met</w:t>
      </w:r>
      <w:r w:rsidR="004821E4" w:rsidRPr="00B138B1">
        <w:rPr>
          <w:b/>
        </w:rPr>
        <w:tab/>
      </w:r>
      <w:r w:rsidR="004821E4" w:rsidRPr="00B138B1">
        <w:rPr>
          <w:b/>
        </w:rPr>
        <w:fldChar w:fldCharType="begin">
          <w:ffData>
            <w:name w:val="Check3"/>
            <w:enabled/>
            <w:calcOnExit w:val="0"/>
            <w:checkBox>
              <w:sizeAuto/>
              <w:default w:val="0"/>
            </w:checkBox>
          </w:ffData>
        </w:fldChar>
      </w:r>
      <w:r w:rsidR="004821E4" w:rsidRPr="00B138B1">
        <w:rPr>
          <w:b/>
        </w:rPr>
        <w:instrText xml:space="preserve"> FORMCHECKBOX </w:instrText>
      </w:r>
      <w:r w:rsidR="0084660B">
        <w:rPr>
          <w:b/>
        </w:rPr>
      </w:r>
      <w:r w:rsidR="0084660B">
        <w:rPr>
          <w:b/>
        </w:rPr>
        <w:fldChar w:fldCharType="separate"/>
      </w:r>
      <w:r w:rsidR="004821E4" w:rsidRPr="00B138B1">
        <w:rPr>
          <w:b/>
        </w:rPr>
        <w:fldChar w:fldCharType="end"/>
      </w:r>
      <w:r w:rsidR="004821E4" w:rsidRPr="00B138B1">
        <w:rPr>
          <w:b/>
        </w:rPr>
        <w:t xml:space="preserve"> Not Met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814E71" w14:paraId="526EB7B0" w14:textId="77777777" w:rsidTr="00A008EB">
        <w:tc>
          <w:tcPr>
            <w:tcW w:w="9016" w:type="dxa"/>
            <w:shd w:val="clear" w:color="auto" w:fill="F2F2F2" w:themeFill="background1" w:themeFillShade="F2"/>
          </w:tcPr>
          <w:p w14:paraId="008D93E0" w14:textId="718A672C" w:rsidR="00814E71" w:rsidRDefault="00A008EB" w:rsidP="00C3530A">
            <w:r w:rsidRPr="00E84598">
              <w:rPr>
                <w:i/>
              </w:rPr>
              <w:t xml:space="preserve">NOPTA assesses that it has met KPI </w:t>
            </w:r>
            <w:r>
              <w:rPr>
                <w:i/>
              </w:rPr>
              <w:t xml:space="preserve">2. </w:t>
            </w:r>
            <w:r w:rsidR="00FA5BA9">
              <w:rPr>
                <w:i/>
              </w:rPr>
              <w:t xml:space="preserve">This evident through positive stakeholder feedback received in relation to how </w:t>
            </w:r>
            <w:r w:rsidR="00FA5BA9" w:rsidRPr="00FA5BA9">
              <w:rPr>
                <w:i/>
              </w:rPr>
              <w:t>information</w:t>
            </w:r>
            <w:r w:rsidR="00FA5BA9">
              <w:rPr>
                <w:i/>
              </w:rPr>
              <w:t xml:space="preserve"> is both accessed</w:t>
            </w:r>
            <w:r w:rsidR="00FA5BA9" w:rsidRPr="00FA5BA9">
              <w:rPr>
                <w:i/>
              </w:rPr>
              <w:t xml:space="preserve"> </w:t>
            </w:r>
            <w:r w:rsidR="00755B9A">
              <w:rPr>
                <w:i/>
              </w:rPr>
              <w:t xml:space="preserve">from </w:t>
            </w:r>
            <w:r w:rsidR="00FA5BA9" w:rsidRPr="00FA5BA9">
              <w:rPr>
                <w:i/>
              </w:rPr>
              <w:t>and provide</w:t>
            </w:r>
            <w:r w:rsidR="00A754D2">
              <w:rPr>
                <w:i/>
              </w:rPr>
              <w:t>d</w:t>
            </w:r>
            <w:r w:rsidR="00FA5BA9" w:rsidRPr="00FA5BA9">
              <w:rPr>
                <w:i/>
              </w:rPr>
              <w:t xml:space="preserve"> to NOPTA, </w:t>
            </w:r>
            <w:r w:rsidR="003758AF">
              <w:rPr>
                <w:i/>
              </w:rPr>
              <w:t xml:space="preserve">including </w:t>
            </w:r>
            <w:r w:rsidR="00FA5BA9">
              <w:rPr>
                <w:i/>
              </w:rPr>
              <w:t xml:space="preserve">high levels of </w:t>
            </w:r>
            <w:r w:rsidR="00FA5BA9" w:rsidRPr="00FA5BA9">
              <w:rPr>
                <w:i/>
              </w:rPr>
              <w:t xml:space="preserve">satisfaction </w:t>
            </w:r>
            <w:r w:rsidR="00FA5BA9">
              <w:rPr>
                <w:i/>
              </w:rPr>
              <w:t>relating to the</w:t>
            </w:r>
            <w:r w:rsidR="00755B9A">
              <w:rPr>
                <w:i/>
              </w:rPr>
              <w:t xml:space="preserve"> information available from the</w:t>
            </w:r>
            <w:r w:rsidR="00FA5BA9">
              <w:rPr>
                <w:i/>
              </w:rPr>
              <w:t xml:space="preserve"> </w:t>
            </w:r>
            <w:r w:rsidR="00FA5BA9" w:rsidRPr="00FA5BA9">
              <w:rPr>
                <w:i/>
              </w:rPr>
              <w:t>NOPTA</w:t>
            </w:r>
            <w:r w:rsidR="00634AAD">
              <w:rPr>
                <w:i/>
              </w:rPr>
              <w:t xml:space="preserve"> website</w:t>
            </w:r>
            <w:r w:rsidR="00FA5BA9" w:rsidRPr="00FA5BA9">
              <w:rPr>
                <w:i/>
              </w:rPr>
              <w:t xml:space="preserve"> and </w:t>
            </w:r>
            <w:r w:rsidR="00634AAD">
              <w:rPr>
                <w:i/>
              </w:rPr>
              <w:t xml:space="preserve">via the </w:t>
            </w:r>
            <w:r w:rsidR="009D68EE">
              <w:rPr>
                <w:i/>
              </w:rPr>
              <w:t>National Electronic Approvals Tracking System (</w:t>
            </w:r>
            <w:r w:rsidR="00FA5BA9" w:rsidRPr="00FA5BA9">
              <w:rPr>
                <w:i/>
              </w:rPr>
              <w:t>NEATS</w:t>
            </w:r>
            <w:r w:rsidR="009D68EE">
              <w:rPr>
                <w:i/>
              </w:rPr>
              <w:t>)</w:t>
            </w:r>
            <w:r w:rsidR="00FA5BA9" w:rsidRPr="00FA5BA9">
              <w:rPr>
                <w:i/>
              </w:rPr>
              <w:t xml:space="preserve">. </w:t>
            </w:r>
            <w:r>
              <w:rPr>
                <w:i/>
              </w:rPr>
              <w:t xml:space="preserve"> </w:t>
            </w:r>
          </w:p>
        </w:tc>
      </w:tr>
    </w:tbl>
    <w:p w14:paraId="7C89C76E" w14:textId="77777777" w:rsidR="00814E71" w:rsidRPr="00814E71" w:rsidRDefault="00814E71" w:rsidP="00C3530A">
      <w:pPr>
        <w:spacing w:after="0" w:line="240" w:lineRule="auto"/>
      </w:pPr>
    </w:p>
    <w:p w14:paraId="797D5520" w14:textId="307DDC8D" w:rsidR="00634AAD" w:rsidRPr="002023CB" w:rsidRDefault="00634AAD" w:rsidP="00C3530A">
      <w:pPr>
        <w:pStyle w:val="ListParagraph"/>
        <w:numPr>
          <w:ilvl w:val="0"/>
          <w:numId w:val="29"/>
        </w:numPr>
        <w:spacing w:before="0" w:after="120"/>
        <w:ind w:left="426" w:hanging="426"/>
        <w:contextualSpacing w:val="0"/>
        <w:rPr>
          <w:rFonts w:asciiTheme="minorHAnsi" w:hAnsiTheme="minorHAnsi"/>
          <w:color w:val="auto"/>
          <w:sz w:val="22"/>
          <w:szCs w:val="22"/>
        </w:rPr>
      </w:pPr>
      <w:bookmarkStart w:id="33" w:name="_Toc497215476"/>
      <w:r>
        <w:rPr>
          <w:rFonts w:asciiTheme="minorHAnsi" w:hAnsiTheme="minorHAnsi"/>
          <w:color w:val="auto"/>
          <w:sz w:val="22"/>
          <w:szCs w:val="22"/>
        </w:rPr>
        <w:t xml:space="preserve">80 per cent of </w:t>
      </w:r>
      <w:r w:rsidRPr="002023CB">
        <w:rPr>
          <w:rFonts w:asciiTheme="minorHAnsi" w:hAnsiTheme="minorHAnsi"/>
          <w:color w:val="auto"/>
          <w:sz w:val="22"/>
          <w:szCs w:val="22"/>
        </w:rPr>
        <w:t xml:space="preserve">respondents to the survey indicated that NOPTA maintains an appropriate profile with its stakeholders </w:t>
      </w:r>
      <w:r>
        <w:rPr>
          <w:rFonts w:asciiTheme="minorHAnsi" w:hAnsiTheme="minorHAnsi"/>
          <w:color w:val="auto"/>
          <w:sz w:val="22"/>
          <w:szCs w:val="22"/>
        </w:rPr>
        <w:t>in relation</w:t>
      </w:r>
      <w:r w:rsidRPr="002023CB">
        <w:rPr>
          <w:rFonts w:asciiTheme="minorHAnsi" w:hAnsiTheme="minorHAnsi"/>
          <w:color w:val="auto"/>
          <w:sz w:val="22"/>
          <w:szCs w:val="22"/>
        </w:rPr>
        <w:t xml:space="preserve"> to communicating and explaining its strategic direction, plans and outcomes to a ‘great</w:t>
      </w:r>
      <w:r>
        <w:rPr>
          <w:rFonts w:asciiTheme="minorHAnsi" w:hAnsiTheme="minorHAnsi"/>
          <w:color w:val="auto"/>
          <w:sz w:val="22"/>
          <w:szCs w:val="22"/>
        </w:rPr>
        <w:t>’</w:t>
      </w:r>
      <w:r w:rsidRPr="002023CB">
        <w:rPr>
          <w:rFonts w:asciiTheme="minorHAnsi" w:hAnsiTheme="minorHAnsi"/>
          <w:color w:val="auto"/>
          <w:sz w:val="22"/>
          <w:szCs w:val="22"/>
        </w:rPr>
        <w:t xml:space="preserve"> or ‘some</w:t>
      </w:r>
      <w:r>
        <w:rPr>
          <w:rFonts w:asciiTheme="minorHAnsi" w:hAnsiTheme="minorHAnsi"/>
          <w:color w:val="auto"/>
          <w:sz w:val="22"/>
          <w:szCs w:val="22"/>
        </w:rPr>
        <w:t>’</w:t>
      </w:r>
      <w:r w:rsidRPr="002023CB">
        <w:rPr>
          <w:rFonts w:asciiTheme="minorHAnsi" w:hAnsiTheme="minorHAnsi"/>
          <w:color w:val="auto"/>
          <w:sz w:val="22"/>
          <w:szCs w:val="22"/>
        </w:rPr>
        <w:t xml:space="preserve"> extent.</w:t>
      </w:r>
    </w:p>
    <w:p w14:paraId="5C56713A" w14:textId="6C349799" w:rsidR="008D5CD2" w:rsidRPr="007E34C5" w:rsidRDefault="001E76F2" w:rsidP="007E34C5">
      <w:pPr>
        <w:pStyle w:val="ListParagraph"/>
        <w:numPr>
          <w:ilvl w:val="0"/>
          <w:numId w:val="29"/>
        </w:numPr>
        <w:spacing w:before="0" w:after="0"/>
        <w:ind w:left="425" w:hanging="425"/>
        <w:contextualSpacing w:val="0"/>
        <w:rPr>
          <w:rFonts w:asciiTheme="minorHAnsi" w:hAnsiTheme="minorHAnsi"/>
          <w:sz w:val="22"/>
          <w:szCs w:val="22"/>
        </w:rPr>
      </w:pPr>
      <w:r w:rsidRPr="00634AAD">
        <w:rPr>
          <w:rFonts w:asciiTheme="minorHAnsi" w:hAnsiTheme="minorHAnsi"/>
          <w:color w:val="auto"/>
          <w:sz w:val="22"/>
          <w:szCs w:val="22"/>
        </w:rPr>
        <w:t>T</w:t>
      </w:r>
      <w:r w:rsidR="00901247" w:rsidRPr="00634AAD">
        <w:rPr>
          <w:rFonts w:asciiTheme="minorHAnsi" w:hAnsiTheme="minorHAnsi"/>
          <w:color w:val="auto"/>
          <w:sz w:val="22"/>
          <w:szCs w:val="22"/>
        </w:rPr>
        <w:t xml:space="preserve">he most common way to communicate with NOPTA </w:t>
      </w:r>
      <w:r w:rsidRPr="00634AAD">
        <w:rPr>
          <w:rFonts w:asciiTheme="minorHAnsi" w:hAnsiTheme="minorHAnsi"/>
          <w:color w:val="auto"/>
          <w:sz w:val="22"/>
          <w:szCs w:val="22"/>
        </w:rPr>
        <w:t xml:space="preserve">continues to be </w:t>
      </w:r>
      <w:r w:rsidR="00901247" w:rsidRPr="00634AAD">
        <w:rPr>
          <w:rFonts w:asciiTheme="minorHAnsi" w:hAnsiTheme="minorHAnsi"/>
          <w:color w:val="auto"/>
          <w:sz w:val="22"/>
          <w:szCs w:val="22"/>
        </w:rPr>
        <w:t>via phone, email and face</w:t>
      </w:r>
      <w:r w:rsidR="00634AAD">
        <w:rPr>
          <w:rFonts w:asciiTheme="minorHAnsi" w:hAnsiTheme="minorHAnsi"/>
          <w:color w:val="auto"/>
          <w:sz w:val="22"/>
          <w:szCs w:val="22"/>
        </w:rPr>
        <w:t> </w:t>
      </w:r>
      <w:r w:rsidR="00901247" w:rsidRPr="00634AAD">
        <w:rPr>
          <w:rFonts w:asciiTheme="minorHAnsi" w:hAnsiTheme="minorHAnsi"/>
          <w:color w:val="auto"/>
          <w:sz w:val="22"/>
          <w:szCs w:val="22"/>
        </w:rPr>
        <w:t xml:space="preserve">to-face meetings. </w:t>
      </w:r>
      <w:r w:rsidR="008D5CD2" w:rsidRPr="00634AAD">
        <w:rPr>
          <w:rFonts w:asciiTheme="minorHAnsi" w:hAnsiTheme="minorHAnsi"/>
          <w:color w:val="auto"/>
          <w:sz w:val="22"/>
          <w:szCs w:val="22"/>
        </w:rPr>
        <w:t xml:space="preserve">Overall, </w:t>
      </w:r>
      <w:r w:rsidR="00901247" w:rsidRPr="00634AAD">
        <w:rPr>
          <w:rFonts w:asciiTheme="minorHAnsi" w:hAnsiTheme="minorHAnsi"/>
          <w:color w:val="auto"/>
          <w:sz w:val="22"/>
          <w:szCs w:val="22"/>
        </w:rPr>
        <w:t>r</w:t>
      </w:r>
      <w:r w:rsidR="008D5CD2" w:rsidRPr="00634AAD">
        <w:rPr>
          <w:rFonts w:asciiTheme="minorHAnsi" w:hAnsiTheme="minorHAnsi"/>
          <w:color w:val="auto"/>
          <w:sz w:val="22"/>
          <w:szCs w:val="22"/>
        </w:rPr>
        <w:t xml:space="preserve">espondents </w:t>
      </w:r>
      <w:r w:rsidR="00901247" w:rsidRPr="001563DA">
        <w:rPr>
          <w:rFonts w:asciiTheme="minorHAnsi" w:hAnsiTheme="minorHAnsi"/>
          <w:color w:val="auto"/>
          <w:sz w:val="22"/>
          <w:szCs w:val="22"/>
        </w:rPr>
        <w:t>to the survey</w:t>
      </w:r>
      <w:r w:rsidR="008D5CD2" w:rsidRPr="001563DA">
        <w:rPr>
          <w:rFonts w:asciiTheme="minorHAnsi" w:hAnsiTheme="minorHAnsi"/>
          <w:color w:val="auto"/>
          <w:sz w:val="22"/>
          <w:szCs w:val="22"/>
        </w:rPr>
        <w:t xml:space="preserve"> were very satisfied that the information received through </w:t>
      </w:r>
      <w:r w:rsidR="00901247" w:rsidRPr="00971F94">
        <w:rPr>
          <w:rFonts w:asciiTheme="minorHAnsi" w:hAnsiTheme="minorHAnsi"/>
          <w:color w:val="auto"/>
          <w:sz w:val="22"/>
          <w:szCs w:val="22"/>
        </w:rPr>
        <w:t xml:space="preserve">these avenues </w:t>
      </w:r>
      <w:r w:rsidR="008D5CD2" w:rsidRPr="00971F94">
        <w:rPr>
          <w:rFonts w:asciiTheme="minorHAnsi" w:hAnsiTheme="minorHAnsi"/>
          <w:color w:val="auto"/>
          <w:sz w:val="22"/>
          <w:szCs w:val="22"/>
        </w:rPr>
        <w:t>was up</w:t>
      </w:r>
      <w:r w:rsidR="00901247" w:rsidRPr="005F38CE">
        <w:rPr>
          <w:rFonts w:asciiTheme="minorHAnsi" w:hAnsiTheme="minorHAnsi"/>
          <w:color w:val="auto"/>
          <w:sz w:val="22"/>
          <w:szCs w:val="22"/>
        </w:rPr>
        <w:t>-</w:t>
      </w:r>
      <w:r w:rsidR="008D5CD2" w:rsidRPr="006352F3">
        <w:rPr>
          <w:rFonts w:asciiTheme="minorHAnsi" w:hAnsiTheme="minorHAnsi"/>
          <w:color w:val="auto"/>
          <w:sz w:val="22"/>
          <w:szCs w:val="22"/>
        </w:rPr>
        <w:t>to</w:t>
      </w:r>
      <w:r w:rsidR="00901247" w:rsidRPr="006352F3">
        <w:rPr>
          <w:rFonts w:asciiTheme="minorHAnsi" w:hAnsiTheme="minorHAnsi"/>
          <w:color w:val="auto"/>
          <w:sz w:val="22"/>
          <w:szCs w:val="22"/>
        </w:rPr>
        <w:t>-</w:t>
      </w:r>
      <w:r w:rsidR="008D5CD2" w:rsidRPr="006352F3">
        <w:rPr>
          <w:rFonts w:asciiTheme="minorHAnsi" w:hAnsiTheme="minorHAnsi"/>
          <w:color w:val="auto"/>
          <w:sz w:val="22"/>
          <w:szCs w:val="22"/>
        </w:rPr>
        <w:t>date (68 per cent), accurate (68</w:t>
      </w:r>
      <w:r w:rsidR="00B27B7A">
        <w:rPr>
          <w:rFonts w:asciiTheme="minorHAnsi" w:hAnsiTheme="minorHAnsi"/>
          <w:color w:val="auto"/>
          <w:sz w:val="22"/>
          <w:szCs w:val="22"/>
        </w:rPr>
        <w:t> </w:t>
      </w:r>
      <w:r w:rsidR="008D5CD2" w:rsidRPr="006352F3">
        <w:rPr>
          <w:rFonts w:asciiTheme="minorHAnsi" w:hAnsiTheme="minorHAnsi"/>
          <w:color w:val="auto"/>
          <w:sz w:val="22"/>
          <w:szCs w:val="22"/>
        </w:rPr>
        <w:t>per</w:t>
      </w:r>
      <w:r w:rsidR="00B27B7A">
        <w:rPr>
          <w:rFonts w:asciiTheme="minorHAnsi" w:hAnsiTheme="minorHAnsi"/>
          <w:color w:val="auto"/>
          <w:sz w:val="22"/>
          <w:szCs w:val="22"/>
        </w:rPr>
        <w:t> </w:t>
      </w:r>
      <w:r w:rsidR="008D5CD2" w:rsidRPr="006352F3">
        <w:rPr>
          <w:rFonts w:asciiTheme="minorHAnsi" w:hAnsiTheme="minorHAnsi"/>
          <w:color w:val="auto"/>
          <w:sz w:val="22"/>
          <w:szCs w:val="22"/>
        </w:rPr>
        <w:t>cent), complete (62 per cent), accessible (58 per cent), consistent (58 per cent), timely (56 per cent) and clear (56 per cent).</w:t>
      </w:r>
    </w:p>
    <w:p w14:paraId="38A8B920" w14:textId="7259CDD8" w:rsidR="003F52D0" w:rsidRPr="007E34C5" w:rsidRDefault="003338CA" w:rsidP="007E34C5">
      <w:pPr>
        <w:pStyle w:val="ListParagraph"/>
        <w:numPr>
          <w:ilvl w:val="1"/>
          <w:numId w:val="47"/>
        </w:numPr>
        <w:spacing w:before="0" w:after="120"/>
        <w:ind w:left="1134" w:hanging="425"/>
        <w:contextualSpacing w:val="0"/>
        <w:rPr>
          <w:rFonts w:asciiTheme="minorHAnsi" w:hAnsiTheme="minorHAnsi"/>
          <w:color w:val="auto"/>
          <w:sz w:val="22"/>
          <w:szCs w:val="22"/>
        </w:rPr>
      </w:pPr>
      <w:r>
        <w:rPr>
          <w:rFonts w:asciiTheme="minorHAnsi" w:hAnsiTheme="minorHAnsi"/>
          <w:color w:val="auto"/>
          <w:sz w:val="22"/>
          <w:szCs w:val="22"/>
        </w:rPr>
        <w:t>During 2018-19 NOPTA held 221 meetings with industry stakeholders.</w:t>
      </w:r>
    </w:p>
    <w:p w14:paraId="19F4CB12" w14:textId="7E4BEDA1" w:rsidR="002F229C" w:rsidRPr="00054669" w:rsidRDefault="00901247" w:rsidP="00C3530A">
      <w:pPr>
        <w:pStyle w:val="ListParagraph"/>
        <w:numPr>
          <w:ilvl w:val="0"/>
          <w:numId w:val="29"/>
        </w:numPr>
        <w:spacing w:before="0" w:after="120"/>
        <w:ind w:left="426" w:hanging="426"/>
        <w:contextualSpacing w:val="0"/>
        <w:rPr>
          <w:rFonts w:asciiTheme="minorHAnsi" w:hAnsiTheme="minorHAnsi"/>
          <w:sz w:val="22"/>
          <w:szCs w:val="22"/>
        </w:rPr>
      </w:pPr>
      <w:r w:rsidRPr="00054669">
        <w:rPr>
          <w:rFonts w:asciiTheme="minorHAnsi" w:hAnsiTheme="minorHAnsi"/>
          <w:color w:val="auto"/>
          <w:sz w:val="22"/>
          <w:szCs w:val="22"/>
        </w:rPr>
        <w:t>As highlighted in the 2017-18 RPF self-assessment, in late 2017 NOPTA launched a refreshed website which significantly improve</w:t>
      </w:r>
      <w:r w:rsidR="00AB3BB6" w:rsidRPr="00054669">
        <w:rPr>
          <w:rFonts w:asciiTheme="minorHAnsi" w:hAnsiTheme="minorHAnsi"/>
          <w:color w:val="auto"/>
          <w:sz w:val="22"/>
          <w:szCs w:val="22"/>
        </w:rPr>
        <w:t>d</w:t>
      </w:r>
      <w:r w:rsidRPr="00054669">
        <w:rPr>
          <w:rFonts w:asciiTheme="minorHAnsi" w:hAnsiTheme="minorHAnsi"/>
          <w:color w:val="auto"/>
          <w:sz w:val="22"/>
          <w:szCs w:val="22"/>
        </w:rPr>
        <w:t xml:space="preserve"> how information is presented and accessed. In the 2019 survey, stakeholders were asked about the quality of information accessed from the website</w:t>
      </w:r>
      <w:r w:rsidR="002F229C" w:rsidRPr="00054669">
        <w:rPr>
          <w:rFonts w:asciiTheme="minorHAnsi" w:hAnsiTheme="minorHAnsi"/>
          <w:color w:val="auto"/>
          <w:sz w:val="22"/>
          <w:szCs w:val="22"/>
        </w:rPr>
        <w:t>.</w:t>
      </w:r>
      <w:r w:rsidRPr="00054669">
        <w:rPr>
          <w:rFonts w:asciiTheme="minorHAnsi" w:hAnsiTheme="minorHAnsi"/>
          <w:color w:val="auto"/>
          <w:sz w:val="22"/>
          <w:szCs w:val="22"/>
        </w:rPr>
        <w:t xml:space="preserve"> </w:t>
      </w:r>
      <w:r w:rsidR="002F229C" w:rsidRPr="00054669">
        <w:rPr>
          <w:rFonts w:asciiTheme="minorHAnsi" w:hAnsiTheme="minorHAnsi"/>
          <w:color w:val="auto"/>
          <w:sz w:val="22"/>
          <w:szCs w:val="22"/>
        </w:rPr>
        <w:t xml:space="preserve">Respondents generally reported being </w:t>
      </w:r>
      <w:r w:rsidR="001563DA">
        <w:rPr>
          <w:rFonts w:asciiTheme="minorHAnsi" w:hAnsiTheme="minorHAnsi"/>
          <w:color w:val="auto"/>
          <w:sz w:val="22"/>
          <w:szCs w:val="22"/>
        </w:rPr>
        <w:t>‘</w:t>
      </w:r>
      <w:r w:rsidR="002F229C" w:rsidRPr="00054669">
        <w:rPr>
          <w:rFonts w:asciiTheme="minorHAnsi" w:hAnsiTheme="minorHAnsi"/>
          <w:color w:val="auto"/>
          <w:sz w:val="22"/>
          <w:szCs w:val="22"/>
        </w:rPr>
        <w:t>very</w:t>
      </w:r>
      <w:r w:rsidR="001563DA">
        <w:rPr>
          <w:rFonts w:asciiTheme="minorHAnsi" w:hAnsiTheme="minorHAnsi"/>
          <w:color w:val="auto"/>
          <w:sz w:val="22"/>
          <w:szCs w:val="22"/>
        </w:rPr>
        <w:t>’</w:t>
      </w:r>
      <w:r w:rsidR="002F229C" w:rsidRPr="00054669">
        <w:rPr>
          <w:rFonts w:asciiTheme="minorHAnsi" w:hAnsiTheme="minorHAnsi"/>
          <w:color w:val="auto"/>
          <w:sz w:val="22"/>
          <w:szCs w:val="22"/>
        </w:rPr>
        <w:t xml:space="preserve"> or </w:t>
      </w:r>
      <w:r w:rsidR="001563DA">
        <w:rPr>
          <w:rFonts w:asciiTheme="minorHAnsi" w:hAnsiTheme="minorHAnsi"/>
          <w:color w:val="auto"/>
          <w:sz w:val="22"/>
          <w:szCs w:val="22"/>
        </w:rPr>
        <w:t>‘</w:t>
      </w:r>
      <w:r w:rsidR="002F229C" w:rsidRPr="00054669">
        <w:rPr>
          <w:rFonts w:asciiTheme="minorHAnsi" w:hAnsiTheme="minorHAnsi"/>
          <w:color w:val="auto"/>
          <w:sz w:val="22"/>
          <w:szCs w:val="22"/>
        </w:rPr>
        <w:t>somewhat</w:t>
      </w:r>
      <w:r w:rsidR="001563DA">
        <w:rPr>
          <w:rFonts w:asciiTheme="minorHAnsi" w:hAnsiTheme="minorHAnsi"/>
          <w:color w:val="auto"/>
          <w:sz w:val="22"/>
          <w:szCs w:val="22"/>
        </w:rPr>
        <w:t>’</w:t>
      </w:r>
      <w:r w:rsidR="002F229C" w:rsidRPr="00054669">
        <w:rPr>
          <w:rFonts w:asciiTheme="minorHAnsi" w:hAnsiTheme="minorHAnsi"/>
          <w:color w:val="auto"/>
          <w:sz w:val="22"/>
          <w:szCs w:val="22"/>
        </w:rPr>
        <w:t xml:space="preserve"> satisfied that the information was </w:t>
      </w:r>
      <w:r w:rsidR="002F229C" w:rsidRPr="00054669">
        <w:rPr>
          <w:rFonts w:asciiTheme="minorHAnsi" w:hAnsiTheme="minorHAnsi"/>
          <w:color w:val="auto"/>
          <w:sz w:val="22"/>
          <w:szCs w:val="22"/>
        </w:rPr>
        <w:lastRenderedPageBreak/>
        <w:t>up to date (91 per cent), clear (86 per cent), accessible (91 per cent), accurate (84 per cent), complete (84 per cent) and consistent (80 per cent).</w:t>
      </w:r>
    </w:p>
    <w:p w14:paraId="17FC625B" w14:textId="0DC72C14" w:rsidR="0023078F" w:rsidRPr="00054669" w:rsidRDefault="008D5CD2" w:rsidP="00C3530A">
      <w:pPr>
        <w:pStyle w:val="ListParagraph"/>
        <w:numPr>
          <w:ilvl w:val="0"/>
          <w:numId w:val="29"/>
        </w:numPr>
        <w:spacing w:before="0" w:after="120"/>
        <w:ind w:left="426" w:hanging="426"/>
        <w:contextualSpacing w:val="0"/>
        <w:rPr>
          <w:rFonts w:asciiTheme="minorHAnsi" w:hAnsiTheme="minorHAnsi"/>
          <w:color w:val="auto"/>
          <w:sz w:val="22"/>
          <w:szCs w:val="22"/>
        </w:rPr>
      </w:pPr>
      <w:r w:rsidRPr="00054669">
        <w:rPr>
          <w:rFonts w:asciiTheme="minorHAnsi" w:hAnsiTheme="minorHAnsi"/>
          <w:color w:val="auto"/>
          <w:sz w:val="22"/>
          <w:szCs w:val="22"/>
        </w:rPr>
        <w:t xml:space="preserve">Respondents </w:t>
      </w:r>
      <w:r w:rsidR="00AB3BB6">
        <w:rPr>
          <w:rFonts w:asciiTheme="minorHAnsi" w:hAnsiTheme="minorHAnsi"/>
          <w:color w:val="auto"/>
          <w:sz w:val="22"/>
          <w:szCs w:val="22"/>
        </w:rPr>
        <w:t xml:space="preserve">also </w:t>
      </w:r>
      <w:r w:rsidRPr="00054669">
        <w:rPr>
          <w:rFonts w:asciiTheme="minorHAnsi" w:hAnsiTheme="minorHAnsi"/>
          <w:color w:val="auto"/>
          <w:sz w:val="22"/>
          <w:szCs w:val="22"/>
        </w:rPr>
        <w:t>indicated a high level of satisfaction with information accessed from NEATS</w:t>
      </w:r>
      <w:r w:rsidR="00AB3BB6">
        <w:rPr>
          <w:rFonts w:asciiTheme="minorHAnsi" w:hAnsiTheme="minorHAnsi"/>
          <w:color w:val="auto"/>
          <w:sz w:val="22"/>
          <w:szCs w:val="22"/>
        </w:rPr>
        <w:t xml:space="preserve">, </w:t>
      </w:r>
      <w:r w:rsidR="00AB3BB6" w:rsidRPr="00054669">
        <w:rPr>
          <w:rFonts w:asciiTheme="minorHAnsi" w:hAnsiTheme="minorHAnsi"/>
          <w:color w:val="auto"/>
          <w:sz w:val="22"/>
          <w:szCs w:val="22"/>
        </w:rPr>
        <w:t xml:space="preserve">with 80 per cent of all responses indicating they were either </w:t>
      </w:r>
      <w:r w:rsidR="001563DA">
        <w:rPr>
          <w:rFonts w:asciiTheme="minorHAnsi" w:hAnsiTheme="minorHAnsi"/>
          <w:color w:val="auto"/>
          <w:sz w:val="22"/>
          <w:szCs w:val="22"/>
        </w:rPr>
        <w:t>‘</w:t>
      </w:r>
      <w:r w:rsidR="00AB3BB6" w:rsidRPr="00054669">
        <w:rPr>
          <w:rFonts w:asciiTheme="minorHAnsi" w:hAnsiTheme="minorHAnsi"/>
          <w:color w:val="auto"/>
          <w:sz w:val="22"/>
          <w:szCs w:val="22"/>
        </w:rPr>
        <w:t>very</w:t>
      </w:r>
      <w:r w:rsidR="001563DA">
        <w:rPr>
          <w:rFonts w:asciiTheme="minorHAnsi" w:hAnsiTheme="minorHAnsi"/>
          <w:color w:val="auto"/>
          <w:sz w:val="22"/>
          <w:szCs w:val="22"/>
        </w:rPr>
        <w:t>’</w:t>
      </w:r>
      <w:r w:rsidR="00AB3BB6" w:rsidRPr="00054669">
        <w:rPr>
          <w:rFonts w:asciiTheme="minorHAnsi" w:hAnsiTheme="minorHAnsi"/>
          <w:color w:val="auto"/>
          <w:sz w:val="22"/>
          <w:szCs w:val="22"/>
        </w:rPr>
        <w:t xml:space="preserve"> or </w:t>
      </w:r>
      <w:r w:rsidR="001563DA">
        <w:rPr>
          <w:rFonts w:asciiTheme="minorHAnsi" w:hAnsiTheme="minorHAnsi"/>
          <w:color w:val="auto"/>
          <w:sz w:val="22"/>
          <w:szCs w:val="22"/>
        </w:rPr>
        <w:t>‘</w:t>
      </w:r>
      <w:r w:rsidR="00AB3BB6" w:rsidRPr="00054669">
        <w:rPr>
          <w:rFonts w:asciiTheme="minorHAnsi" w:hAnsiTheme="minorHAnsi"/>
          <w:color w:val="auto"/>
          <w:sz w:val="22"/>
          <w:szCs w:val="22"/>
        </w:rPr>
        <w:t>somewhat</w:t>
      </w:r>
      <w:r w:rsidR="001563DA">
        <w:rPr>
          <w:rFonts w:asciiTheme="minorHAnsi" w:hAnsiTheme="minorHAnsi"/>
          <w:color w:val="auto"/>
          <w:sz w:val="22"/>
          <w:szCs w:val="22"/>
        </w:rPr>
        <w:t>’</w:t>
      </w:r>
      <w:r w:rsidR="00AB3BB6" w:rsidRPr="00054669">
        <w:rPr>
          <w:rFonts w:asciiTheme="minorHAnsi" w:hAnsiTheme="minorHAnsi"/>
          <w:color w:val="auto"/>
          <w:sz w:val="22"/>
          <w:szCs w:val="22"/>
        </w:rPr>
        <w:t xml:space="preserve"> satisfied. </w:t>
      </w:r>
    </w:p>
    <w:p w14:paraId="10DF5214" w14:textId="1ED67314" w:rsidR="005921F8" w:rsidRDefault="001936CE" w:rsidP="005921F8">
      <w:pPr>
        <w:pStyle w:val="ListParagraph"/>
        <w:numPr>
          <w:ilvl w:val="0"/>
          <w:numId w:val="29"/>
        </w:numPr>
        <w:spacing w:before="0" w:after="0"/>
        <w:ind w:left="425" w:hanging="425"/>
        <w:contextualSpacing w:val="0"/>
        <w:rPr>
          <w:rFonts w:asciiTheme="minorHAnsi" w:hAnsiTheme="minorHAnsi"/>
          <w:color w:val="auto"/>
          <w:sz w:val="22"/>
          <w:szCs w:val="22"/>
        </w:rPr>
      </w:pPr>
      <w:r>
        <w:rPr>
          <w:rFonts w:asciiTheme="minorHAnsi" w:hAnsiTheme="minorHAnsi"/>
          <w:color w:val="auto"/>
          <w:sz w:val="22"/>
          <w:szCs w:val="22"/>
        </w:rPr>
        <w:t>I</w:t>
      </w:r>
      <w:r w:rsidR="005921F8">
        <w:rPr>
          <w:rFonts w:asciiTheme="minorHAnsi" w:hAnsiTheme="minorHAnsi"/>
          <w:color w:val="auto"/>
          <w:sz w:val="22"/>
          <w:szCs w:val="22"/>
        </w:rPr>
        <w:t xml:space="preserve">n 2018-19 NOPTA published: </w:t>
      </w:r>
    </w:p>
    <w:p w14:paraId="6C1BEB5D" w14:textId="2409856F" w:rsidR="007E34C5" w:rsidRPr="000743C1" w:rsidRDefault="007E34C5" w:rsidP="000743C1">
      <w:pPr>
        <w:pStyle w:val="ListParagraph"/>
        <w:numPr>
          <w:ilvl w:val="1"/>
          <w:numId w:val="47"/>
        </w:numPr>
        <w:spacing w:before="0" w:after="120"/>
        <w:ind w:left="1134" w:hanging="425"/>
        <w:contextualSpacing w:val="0"/>
        <w:rPr>
          <w:rFonts w:asciiTheme="minorHAnsi" w:hAnsiTheme="minorHAnsi"/>
          <w:color w:val="auto"/>
          <w:sz w:val="22"/>
          <w:szCs w:val="22"/>
        </w:rPr>
      </w:pPr>
      <w:r w:rsidRPr="000743C1">
        <w:rPr>
          <w:rFonts w:asciiTheme="minorHAnsi" w:hAnsiTheme="minorHAnsi"/>
          <w:color w:val="auto"/>
          <w:sz w:val="22"/>
          <w:szCs w:val="22"/>
        </w:rPr>
        <w:t>the updated</w:t>
      </w:r>
      <w:r w:rsidR="002B1552">
        <w:rPr>
          <w:rFonts w:asciiTheme="minorHAnsi" w:hAnsiTheme="minorHAnsi"/>
          <w:color w:val="auto"/>
          <w:sz w:val="22"/>
          <w:szCs w:val="22"/>
        </w:rPr>
        <w:t>, as developed by Offshore Resources Branch</w:t>
      </w:r>
      <w:r w:rsidR="008978A9">
        <w:rPr>
          <w:rFonts w:asciiTheme="minorHAnsi" w:hAnsiTheme="minorHAnsi"/>
          <w:color w:val="auto"/>
          <w:sz w:val="22"/>
          <w:szCs w:val="22"/>
        </w:rPr>
        <w:t xml:space="preserve"> with input from NOPTA</w:t>
      </w:r>
      <w:r w:rsidR="002B1552">
        <w:rPr>
          <w:rFonts w:asciiTheme="minorHAnsi" w:hAnsiTheme="minorHAnsi"/>
          <w:color w:val="auto"/>
          <w:sz w:val="22"/>
          <w:szCs w:val="22"/>
        </w:rPr>
        <w:t>,</w:t>
      </w:r>
      <w:r w:rsidRPr="000743C1">
        <w:rPr>
          <w:rFonts w:asciiTheme="minorHAnsi" w:hAnsiTheme="minorHAnsi"/>
          <w:color w:val="auto"/>
          <w:sz w:val="22"/>
          <w:szCs w:val="22"/>
        </w:rPr>
        <w:t xml:space="preserve"> </w:t>
      </w:r>
      <w:r w:rsidRPr="000743C1">
        <w:rPr>
          <w:rFonts w:asciiTheme="minorHAnsi" w:hAnsiTheme="minorHAnsi"/>
          <w:i/>
          <w:iCs/>
          <w:color w:val="auto"/>
          <w:sz w:val="22"/>
          <w:szCs w:val="22"/>
        </w:rPr>
        <w:t xml:space="preserve">Offshore Petroleum Exploration Guideline: Work-bid </w:t>
      </w:r>
      <w:r w:rsidRPr="001936CE">
        <w:rPr>
          <w:rFonts w:asciiTheme="minorHAnsi" w:hAnsiTheme="minorHAnsi"/>
          <w:color w:val="auto"/>
          <w:sz w:val="22"/>
          <w:szCs w:val="22"/>
        </w:rPr>
        <w:t>effective</w:t>
      </w:r>
      <w:r w:rsidRPr="000743C1">
        <w:rPr>
          <w:rFonts w:asciiTheme="minorHAnsi" w:hAnsiTheme="minorHAnsi"/>
          <w:color w:val="auto"/>
          <w:sz w:val="22"/>
          <w:szCs w:val="22"/>
        </w:rPr>
        <w:t xml:space="preserve"> 1 July 2019</w:t>
      </w:r>
      <w:r w:rsidRPr="000743C1">
        <w:rPr>
          <w:rFonts w:asciiTheme="minorHAnsi" w:hAnsiTheme="minorHAnsi"/>
          <w:color w:val="auto"/>
          <w:sz w:val="22"/>
          <w:szCs w:val="22"/>
          <w:vertAlign w:val="superscript"/>
        </w:rPr>
        <w:footnoteReference w:id="3"/>
      </w:r>
      <w:r w:rsidRPr="007E34C5">
        <w:rPr>
          <w:rFonts w:asciiTheme="minorHAnsi" w:hAnsiTheme="minorHAnsi"/>
          <w:color w:val="auto"/>
          <w:sz w:val="22"/>
          <w:szCs w:val="22"/>
        </w:rPr>
        <w:t xml:space="preserve"> </w:t>
      </w:r>
      <w:r w:rsidRPr="00054669">
        <w:rPr>
          <w:rFonts w:asciiTheme="minorHAnsi" w:hAnsiTheme="minorHAnsi"/>
          <w:color w:val="auto"/>
          <w:sz w:val="22"/>
          <w:szCs w:val="22"/>
        </w:rPr>
        <w:t>to clarify existing processes and reflect changes announced in September 2018 to the acreage release process</w:t>
      </w:r>
      <w:r w:rsidRPr="000743C1">
        <w:rPr>
          <w:rFonts w:asciiTheme="minorHAnsi" w:hAnsiTheme="minorHAnsi"/>
          <w:color w:val="auto"/>
          <w:sz w:val="22"/>
          <w:szCs w:val="22"/>
        </w:rPr>
        <w:t xml:space="preserve">. </w:t>
      </w:r>
    </w:p>
    <w:p w14:paraId="06215177" w14:textId="77777777" w:rsidR="007E34C5" w:rsidRPr="000743C1" w:rsidRDefault="007E34C5" w:rsidP="000743C1">
      <w:pPr>
        <w:pStyle w:val="ListParagraph"/>
        <w:numPr>
          <w:ilvl w:val="1"/>
          <w:numId w:val="47"/>
        </w:numPr>
        <w:spacing w:before="0" w:after="120"/>
        <w:ind w:left="1134" w:hanging="425"/>
        <w:contextualSpacing w:val="0"/>
        <w:rPr>
          <w:rFonts w:asciiTheme="minorHAnsi" w:hAnsiTheme="minorHAnsi"/>
          <w:color w:val="auto"/>
          <w:sz w:val="22"/>
          <w:szCs w:val="22"/>
        </w:rPr>
      </w:pPr>
      <w:r w:rsidRPr="000743C1">
        <w:rPr>
          <w:rFonts w:asciiTheme="minorHAnsi" w:hAnsiTheme="minorHAnsi"/>
          <w:color w:val="auto"/>
          <w:sz w:val="22"/>
          <w:szCs w:val="22"/>
        </w:rPr>
        <w:t xml:space="preserve">the </w:t>
      </w:r>
      <w:r w:rsidRPr="000743C1">
        <w:rPr>
          <w:rFonts w:asciiTheme="minorHAnsi" w:hAnsiTheme="minorHAnsi"/>
          <w:i/>
          <w:iCs/>
          <w:color w:val="auto"/>
          <w:sz w:val="22"/>
          <w:szCs w:val="22"/>
        </w:rPr>
        <w:t>Signatures</w:t>
      </w:r>
      <w:r w:rsidRPr="000743C1">
        <w:rPr>
          <w:rFonts w:asciiTheme="minorHAnsi" w:hAnsiTheme="minorHAnsi"/>
          <w:color w:val="auto"/>
          <w:sz w:val="22"/>
          <w:szCs w:val="22"/>
        </w:rPr>
        <w:t xml:space="preserve"> fact sheet relating to the execution of NOPTA forms by companies to provide clearer guidance on the execution of NOPTA forms and prescribed instruments of transfers  </w:t>
      </w:r>
    </w:p>
    <w:p w14:paraId="24522E85" w14:textId="77777777" w:rsidR="007E34C5" w:rsidRPr="00983CED" w:rsidRDefault="007E34C5" w:rsidP="007E34C5">
      <w:pPr>
        <w:pStyle w:val="ListParagraph"/>
        <w:numPr>
          <w:ilvl w:val="1"/>
          <w:numId w:val="47"/>
        </w:numPr>
        <w:spacing w:before="0" w:after="120"/>
        <w:ind w:left="1134" w:hanging="425"/>
        <w:contextualSpacing w:val="0"/>
        <w:rPr>
          <w:rFonts w:asciiTheme="minorHAnsi" w:hAnsiTheme="minorHAnsi"/>
          <w:color w:val="auto"/>
          <w:sz w:val="22"/>
          <w:szCs w:val="22"/>
        </w:rPr>
      </w:pPr>
      <w:r w:rsidRPr="00983CED">
        <w:rPr>
          <w:rFonts w:asciiTheme="minorHAnsi" w:hAnsiTheme="minorHAnsi"/>
          <w:color w:val="auto"/>
          <w:sz w:val="22"/>
          <w:szCs w:val="22"/>
        </w:rPr>
        <w:t xml:space="preserve">the </w:t>
      </w:r>
      <w:r w:rsidRPr="00983CED">
        <w:rPr>
          <w:rFonts w:asciiTheme="minorHAnsi" w:hAnsiTheme="minorHAnsi"/>
          <w:i/>
          <w:iCs/>
          <w:color w:val="auto"/>
          <w:sz w:val="22"/>
          <w:szCs w:val="22"/>
        </w:rPr>
        <w:t>Developing Petroleum Resource</w:t>
      </w:r>
      <w:r w:rsidRPr="00983CED">
        <w:rPr>
          <w:rFonts w:asciiTheme="minorHAnsi" w:hAnsiTheme="minorHAnsi"/>
          <w:color w:val="auto"/>
          <w:sz w:val="22"/>
          <w:szCs w:val="22"/>
        </w:rPr>
        <w:t xml:space="preserve"> fact sheet to assist stakeholders to understand the process of moving from the exploration or appraisal phase to development, including the various approvals required before commencing production</w:t>
      </w:r>
    </w:p>
    <w:p w14:paraId="473EED50" w14:textId="77777777" w:rsidR="007E34C5" w:rsidRPr="000743C1" w:rsidRDefault="007E34C5" w:rsidP="000743C1">
      <w:pPr>
        <w:pStyle w:val="ListParagraph"/>
        <w:numPr>
          <w:ilvl w:val="1"/>
          <w:numId w:val="47"/>
        </w:numPr>
        <w:spacing w:before="0" w:after="120"/>
        <w:ind w:left="1134" w:hanging="425"/>
        <w:contextualSpacing w:val="0"/>
        <w:rPr>
          <w:rFonts w:asciiTheme="minorHAnsi" w:hAnsiTheme="minorHAnsi"/>
          <w:color w:val="auto"/>
          <w:sz w:val="22"/>
          <w:szCs w:val="22"/>
        </w:rPr>
      </w:pPr>
      <w:r w:rsidRPr="000743C1">
        <w:rPr>
          <w:rFonts w:asciiTheme="minorHAnsi" w:hAnsiTheme="minorHAnsi"/>
          <w:color w:val="auto"/>
          <w:sz w:val="22"/>
          <w:szCs w:val="22"/>
        </w:rPr>
        <w:t xml:space="preserve">updated application forms to provide greater clarity on the submission requirements and the additional information NOPTA requires to undertake application assessments  </w:t>
      </w:r>
    </w:p>
    <w:p w14:paraId="65436E94" w14:textId="5DD0EFFF" w:rsidR="00CC0F4C" w:rsidRDefault="00E15857" w:rsidP="005921F8">
      <w:pPr>
        <w:pStyle w:val="ListParagraph"/>
        <w:numPr>
          <w:ilvl w:val="0"/>
          <w:numId w:val="29"/>
        </w:numPr>
        <w:spacing w:before="0" w:after="0"/>
        <w:ind w:left="425" w:hanging="425"/>
        <w:contextualSpacing w:val="0"/>
        <w:rPr>
          <w:rFonts w:asciiTheme="minorHAnsi" w:hAnsiTheme="minorHAnsi"/>
          <w:color w:val="auto"/>
          <w:sz w:val="22"/>
          <w:szCs w:val="22"/>
        </w:rPr>
      </w:pPr>
      <w:r>
        <w:rPr>
          <w:rFonts w:asciiTheme="minorHAnsi" w:hAnsiTheme="minorHAnsi"/>
          <w:color w:val="auto"/>
          <w:sz w:val="22"/>
          <w:szCs w:val="22"/>
        </w:rPr>
        <w:t xml:space="preserve">NOPTA maintained a visible presence </w:t>
      </w:r>
      <w:r w:rsidR="00D85C86">
        <w:rPr>
          <w:rFonts w:asciiTheme="minorHAnsi" w:hAnsiTheme="minorHAnsi"/>
          <w:color w:val="auto"/>
          <w:sz w:val="22"/>
          <w:szCs w:val="22"/>
        </w:rPr>
        <w:t>at</w:t>
      </w:r>
      <w:r w:rsidR="00CC0F4C">
        <w:rPr>
          <w:rFonts w:asciiTheme="minorHAnsi" w:hAnsiTheme="minorHAnsi"/>
          <w:color w:val="auto"/>
          <w:sz w:val="22"/>
          <w:szCs w:val="22"/>
        </w:rPr>
        <w:t>:</w:t>
      </w:r>
      <w:r w:rsidR="00D85C86">
        <w:rPr>
          <w:rFonts w:asciiTheme="minorHAnsi" w:hAnsiTheme="minorHAnsi"/>
          <w:color w:val="auto"/>
          <w:sz w:val="22"/>
          <w:szCs w:val="22"/>
        </w:rPr>
        <w:t xml:space="preserve"> </w:t>
      </w:r>
    </w:p>
    <w:p w14:paraId="16F0155A" w14:textId="2CC96F01" w:rsidR="00E15857" w:rsidRDefault="00D85C86" w:rsidP="00CC0F4C">
      <w:pPr>
        <w:pStyle w:val="ListParagraph"/>
        <w:numPr>
          <w:ilvl w:val="1"/>
          <w:numId w:val="47"/>
        </w:numPr>
        <w:spacing w:before="0" w:after="120"/>
        <w:ind w:left="1134" w:hanging="425"/>
        <w:contextualSpacing w:val="0"/>
        <w:rPr>
          <w:rFonts w:asciiTheme="minorHAnsi" w:hAnsiTheme="minorHAnsi"/>
          <w:color w:val="auto"/>
          <w:sz w:val="22"/>
          <w:szCs w:val="22"/>
        </w:rPr>
      </w:pPr>
      <w:r>
        <w:rPr>
          <w:rFonts w:asciiTheme="minorHAnsi" w:hAnsiTheme="minorHAnsi"/>
          <w:color w:val="auto"/>
          <w:sz w:val="22"/>
          <w:szCs w:val="22"/>
        </w:rPr>
        <w:t xml:space="preserve">the 2019 APPEA conference, where </w:t>
      </w:r>
      <w:r w:rsidR="00E15857" w:rsidRPr="00054669">
        <w:rPr>
          <w:rFonts w:asciiTheme="minorHAnsi" w:hAnsiTheme="minorHAnsi"/>
          <w:color w:val="auto"/>
          <w:sz w:val="22"/>
          <w:szCs w:val="22"/>
        </w:rPr>
        <w:t>staff were available</w:t>
      </w:r>
      <w:r>
        <w:rPr>
          <w:rFonts w:asciiTheme="minorHAnsi" w:hAnsiTheme="minorHAnsi"/>
          <w:color w:val="auto"/>
          <w:sz w:val="22"/>
          <w:szCs w:val="22"/>
        </w:rPr>
        <w:t xml:space="preserve"> to answer questions</w:t>
      </w:r>
      <w:r w:rsidR="00E15857" w:rsidRPr="00054669">
        <w:rPr>
          <w:rFonts w:asciiTheme="minorHAnsi" w:hAnsiTheme="minorHAnsi"/>
          <w:color w:val="auto"/>
          <w:sz w:val="22"/>
          <w:szCs w:val="22"/>
        </w:rPr>
        <w:t xml:space="preserve"> at a dedicated </w:t>
      </w:r>
      <w:r>
        <w:rPr>
          <w:rFonts w:asciiTheme="minorHAnsi" w:hAnsiTheme="minorHAnsi"/>
          <w:color w:val="auto"/>
          <w:sz w:val="22"/>
          <w:szCs w:val="22"/>
        </w:rPr>
        <w:t xml:space="preserve">NOPTA </w:t>
      </w:r>
      <w:r w:rsidR="00E15857" w:rsidRPr="00054669">
        <w:rPr>
          <w:rFonts w:asciiTheme="minorHAnsi" w:hAnsiTheme="minorHAnsi"/>
          <w:color w:val="auto"/>
          <w:sz w:val="22"/>
          <w:szCs w:val="22"/>
        </w:rPr>
        <w:t xml:space="preserve">booth. </w:t>
      </w:r>
    </w:p>
    <w:p w14:paraId="4026B658" w14:textId="4DED76B3" w:rsidR="00613511" w:rsidRPr="007B25F7" w:rsidRDefault="00613511" w:rsidP="00613511">
      <w:pPr>
        <w:pStyle w:val="ListParagraph"/>
        <w:numPr>
          <w:ilvl w:val="1"/>
          <w:numId w:val="47"/>
        </w:numPr>
        <w:spacing w:before="0" w:after="120"/>
        <w:ind w:left="1134" w:hanging="425"/>
        <w:contextualSpacing w:val="0"/>
        <w:rPr>
          <w:rFonts w:asciiTheme="minorHAnsi" w:hAnsiTheme="minorHAnsi" w:cstheme="minorHAnsi"/>
          <w:sz w:val="22"/>
          <w:szCs w:val="22"/>
        </w:rPr>
      </w:pPr>
      <w:r>
        <w:rPr>
          <w:rFonts w:asciiTheme="minorHAnsi" w:hAnsiTheme="minorHAnsi"/>
          <w:color w:val="auto"/>
          <w:sz w:val="22"/>
          <w:szCs w:val="22"/>
        </w:rPr>
        <w:t xml:space="preserve">participated in community sessions in South Australia and Newcastle, NSW regarding the governments’ role in regulating offshore oil and gas activities. </w:t>
      </w:r>
    </w:p>
    <w:p w14:paraId="4D6FBC0F" w14:textId="5C2CC5D7" w:rsidR="00D22AEC" w:rsidRPr="005921F8" w:rsidRDefault="00D22AEC" w:rsidP="00D22AEC">
      <w:pPr>
        <w:pStyle w:val="ListParagraph"/>
        <w:numPr>
          <w:ilvl w:val="1"/>
          <w:numId w:val="47"/>
        </w:numPr>
        <w:spacing w:before="0" w:after="120"/>
        <w:ind w:left="1134" w:hanging="425"/>
        <w:contextualSpacing w:val="0"/>
        <w:rPr>
          <w:rFonts w:asciiTheme="minorHAnsi" w:hAnsiTheme="minorHAnsi"/>
          <w:color w:val="auto"/>
          <w:sz w:val="22"/>
          <w:szCs w:val="22"/>
        </w:rPr>
      </w:pPr>
      <w:r>
        <w:rPr>
          <w:rFonts w:asciiTheme="minorHAnsi" w:hAnsiTheme="minorHAnsi"/>
          <w:color w:val="auto"/>
          <w:sz w:val="22"/>
          <w:szCs w:val="22"/>
        </w:rPr>
        <w:t xml:space="preserve">attended the 2018 </w:t>
      </w:r>
      <w:r w:rsidRPr="005921F8">
        <w:rPr>
          <w:rFonts w:asciiTheme="minorHAnsi" w:hAnsiTheme="minorHAnsi"/>
          <w:color w:val="auto"/>
          <w:sz w:val="22"/>
          <w:szCs w:val="22"/>
        </w:rPr>
        <w:t>South East Asia Australia</w:t>
      </w:r>
      <w:r w:rsidRPr="00D22AEC">
        <w:rPr>
          <w:rFonts w:asciiTheme="minorHAnsi" w:hAnsiTheme="minorHAnsi"/>
          <w:color w:val="auto"/>
          <w:sz w:val="22"/>
          <w:szCs w:val="22"/>
        </w:rPr>
        <w:t xml:space="preserve"> </w:t>
      </w:r>
      <w:r w:rsidRPr="005921F8">
        <w:rPr>
          <w:rFonts w:asciiTheme="minorHAnsi" w:hAnsiTheme="minorHAnsi"/>
          <w:color w:val="auto"/>
          <w:sz w:val="22"/>
          <w:szCs w:val="22"/>
        </w:rPr>
        <w:t xml:space="preserve">Offshore Conference </w:t>
      </w:r>
    </w:p>
    <w:p w14:paraId="569E2507" w14:textId="387491D2" w:rsidR="006352F3" w:rsidRDefault="006352F3" w:rsidP="00C3530A">
      <w:pPr>
        <w:pBdr>
          <w:bottom w:val="single" w:sz="6" w:space="1" w:color="auto"/>
        </w:pBdr>
        <w:spacing w:after="0" w:line="240" w:lineRule="auto"/>
      </w:pPr>
    </w:p>
    <w:p w14:paraId="6B0AF7EF" w14:textId="77777777" w:rsidR="001936CE" w:rsidRDefault="001936CE" w:rsidP="00C3530A">
      <w:pPr>
        <w:pBdr>
          <w:bottom w:val="single" w:sz="6" w:space="1" w:color="auto"/>
        </w:pBdr>
        <w:spacing w:after="0" w:line="240" w:lineRule="auto"/>
      </w:pPr>
    </w:p>
    <w:p w14:paraId="646C146A" w14:textId="19637902" w:rsidR="006352F3" w:rsidRDefault="006352F3" w:rsidP="00C3530A">
      <w:pPr>
        <w:spacing w:after="0" w:line="240" w:lineRule="auto"/>
      </w:pPr>
    </w:p>
    <w:p w14:paraId="182612BA" w14:textId="77777777" w:rsidR="006352F3" w:rsidRPr="006352F3" w:rsidRDefault="006352F3" w:rsidP="00C3530A">
      <w:pPr>
        <w:spacing w:after="0" w:line="240" w:lineRule="auto"/>
      </w:pPr>
    </w:p>
    <w:p w14:paraId="4EA71B3E" w14:textId="77777777" w:rsidR="005921F8" w:rsidRDefault="005921F8">
      <w:pPr>
        <w:rPr>
          <w:rFonts w:eastAsiaTheme="majorEastAsia" w:cstheme="majorBidi"/>
          <w:b/>
          <w:color w:val="1F4E79" w:themeColor="accent1" w:themeShade="80"/>
          <w:sz w:val="26"/>
          <w:szCs w:val="26"/>
        </w:rPr>
      </w:pPr>
      <w:r>
        <w:rPr>
          <w:color w:val="1F4E79" w:themeColor="accent1" w:themeShade="80"/>
        </w:rPr>
        <w:br w:type="page"/>
      </w:r>
    </w:p>
    <w:p w14:paraId="1887DF7A" w14:textId="52F2FB7F" w:rsidR="00772396" w:rsidRPr="006352F3" w:rsidRDefault="006F6665" w:rsidP="00C3530A">
      <w:pPr>
        <w:pStyle w:val="Heading2"/>
        <w:jc w:val="left"/>
        <w:rPr>
          <w:color w:val="1F4E79" w:themeColor="accent1" w:themeShade="80"/>
        </w:rPr>
      </w:pPr>
      <w:bookmarkStart w:id="34" w:name="_Toc20813185"/>
      <w:r w:rsidRPr="006352F3">
        <w:rPr>
          <w:color w:val="1F4E79" w:themeColor="accent1" w:themeShade="80"/>
        </w:rPr>
        <w:lastRenderedPageBreak/>
        <w:t>KPI 3: Actions undertaken by regulators are proportionate to the regulatory risk being managed</w:t>
      </w:r>
      <w:bookmarkStart w:id="35" w:name="_Toc497215477"/>
      <w:bookmarkEnd w:id="33"/>
      <w:bookmarkEnd w:id="34"/>
    </w:p>
    <w:p w14:paraId="2F9503AB" w14:textId="77777777" w:rsidR="006F6665" w:rsidRPr="006352F3" w:rsidRDefault="006F6665" w:rsidP="00C3530A">
      <w:pPr>
        <w:pStyle w:val="Heading3"/>
        <w:jc w:val="left"/>
        <w:rPr>
          <w:color w:val="1F4E79" w:themeColor="accent1" w:themeShade="80"/>
        </w:rPr>
      </w:pPr>
      <w:bookmarkStart w:id="36" w:name="_Toc20813186"/>
      <w:r w:rsidRPr="006352F3">
        <w:rPr>
          <w:color w:val="1F4E79" w:themeColor="accent1" w:themeShade="80"/>
        </w:rPr>
        <w:t>KPI Expectations</w:t>
      </w:r>
      <w:bookmarkEnd w:id="35"/>
      <w:bookmarkEnd w:id="36"/>
    </w:p>
    <w:p w14:paraId="480219F0" w14:textId="06E6BBBC" w:rsidR="00772396" w:rsidRDefault="006F6665" w:rsidP="00C3530A">
      <w:pPr>
        <w:spacing w:after="0" w:line="240" w:lineRule="auto"/>
      </w:pPr>
      <w:r w:rsidRPr="00772396">
        <w:t xml:space="preserve">A risk-based approach is used to promote the most efficient use of resources and improve the effectiveness of the regulatory framework. This is achieved through minimising burden on those who are voluntarily compliant and ensuring that enforcement action is proportionate and undertaken only when necessary. </w:t>
      </w:r>
      <w:bookmarkStart w:id="37" w:name="_Toc497215478"/>
    </w:p>
    <w:p w14:paraId="13A9F2C5" w14:textId="77777777" w:rsidR="006F6665" w:rsidRPr="006352F3" w:rsidRDefault="006F6665" w:rsidP="00C3530A">
      <w:pPr>
        <w:pStyle w:val="Heading3"/>
        <w:jc w:val="left"/>
        <w:rPr>
          <w:color w:val="1F4E79" w:themeColor="accent1" w:themeShade="80"/>
        </w:rPr>
      </w:pPr>
      <w:bookmarkStart w:id="38" w:name="_Toc20813187"/>
      <w:r w:rsidRPr="006352F3">
        <w:rPr>
          <w:color w:val="1F4E79" w:themeColor="accent1" w:themeShade="80"/>
        </w:rPr>
        <w:t>NOPTA’s Approach</w:t>
      </w:r>
      <w:bookmarkEnd w:id="37"/>
      <w:bookmarkEnd w:id="38"/>
      <w:r w:rsidRPr="006352F3">
        <w:rPr>
          <w:color w:val="1F4E79" w:themeColor="accent1" w:themeShade="80"/>
        </w:rPr>
        <w:t xml:space="preserve"> </w:t>
      </w:r>
    </w:p>
    <w:p w14:paraId="79D32D3B" w14:textId="1629EB69" w:rsidR="00AA167B" w:rsidRPr="00F20765" w:rsidRDefault="001E0BFA" w:rsidP="00C3530A">
      <w:pPr>
        <w:spacing w:line="240" w:lineRule="auto"/>
      </w:pPr>
      <w:bookmarkStart w:id="39" w:name="_Toc497215479"/>
      <w:r>
        <w:t>NOPTA takes</w:t>
      </w:r>
      <w:r w:rsidR="00A726EC" w:rsidRPr="00F20765">
        <w:t xml:space="preserve"> a risk-based approach to titles administration, compliance and enforcement, allowing for proportionate responses to risks</w:t>
      </w:r>
      <w:r w:rsidR="000158C2">
        <w:t>,</w:t>
      </w:r>
      <w:r w:rsidR="00A726EC" w:rsidRPr="00F20765">
        <w:t xml:space="preserve"> </w:t>
      </w:r>
      <w:r w:rsidR="000158C2" w:rsidRPr="00F20765">
        <w:t>suitable</w:t>
      </w:r>
      <w:r w:rsidR="00A726EC" w:rsidRPr="00F20765">
        <w:t xml:space="preserve"> to</w:t>
      </w:r>
      <w:r w:rsidR="00DC1580">
        <w:t xml:space="preserve"> the</w:t>
      </w:r>
      <w:r w:rsidR="00A726EC" w:rsidRPr="00F20765">
        <w:t xml:space="preserve"> nature and complexity</w:t>
      </w:r>
      <w:r w:rsidR="00F20920">
        <w:t xml:space="preserve"> of the issue at hand</w:t>
      </w:r>
      <w:r w:rsidR="00A726EC" w:rsidRPr="00F20765">
        <w:t>.</w:t>
      </w:r>
    </w:p>
    <w:p w14:paraId="357B1D15" w14:textId="77777777" w:rsidR="006F6665" w:rsidRPr="00B138B1" w:rsidRDefault="006F6665" w:rsidP="00C3530A">
      <w:pPr>
        <w:spacing w:line="240" w:lineRule="auto"/>
        <w:rPr>
          <w:b/>
        </w:rPr>
      </w:pPr>
      <w:r w:rsidRPr="00B138B1">
        <w:rPr>
          <w:b/>
        </w:rPr>
        <w:t>Results</w:t>
      </w:r>
      <w:bookmarkEnd w:id="39"/>
      <w:r w:rsidR="002C3F5D" w:rsidRPr="00B138B1">
        <w:rPr>
          <w:b/>
        </w:rPr>
        <w:t xml:space="preserve">: </w:t>
      </w:r>
      <w:r w:rsidR="002C3F5D" w:rsidRPr="00B138B1">
        <w:rPr>
          <w:b/>
        </w:rPr>
        <w:tab/>
      </w:r>
      <w:r w:rsidR="002C3F5D" w:rsidRPr="00B138B1">
        <w:rPr>
          <w:b/>
        </w:rPr>
        <w:fldChar w:fldCharType="begin">
          <w:ffData>
            <w:name w:val="Check1"/>
            <w:enabled/>
            <w:calcOnExit w:val="0"/>
            <w:checkBox>
              <w:sizeAuto/>
              <w:default w:val="1"/>
            </w:checkBox>
          </w:ffData>
        </w:fldChar>
      </w:r>
      <w:r w:rsidR="002C3F5D" w:rsidRPr="00B138B1">
        <w:rPr>
          <w:b/>
        </w:rPr>
        <w:instrText xml:space="preserve"> FORMCHECKBOX </w:instrText>
      </w:r>
      <w:r w:rsidR="0084660B">
        <w:rPr>
          <w:b/>
        </w:rPr>
      </w:r>
      <w:r w:rsidR="0084660B">
        <w:rPr>
          <w:b/>
        </w:rPr>
        <w:fldChar w:fldCharType="separate"/>
      </w:r>
      <w:r w:rsidR="002C3F5D" w:rsidRPr="00B138B1">
        <w:rPr>
          <w:b/>
        </w:rPr>
        <w:fldChar w:fldCharType="end"/>
      </w:r>
      <w:r w:rsidR="002C3F5D" w:rsidRPr="00B138B1">
        <w:rPr>
          <w:b/>
        </w:rPr>
        <w:t xml:space="preserve"> Met</w:t>
      </w:r>
      <w:r w:rsidR="002C3F5D" w:rsidRPr="00B138B1">
        <w:rPr>
          <w:b/>
        </w:rPr>
        <w:tab/>
      </w:r>
      <w:r w:rsidR="002C3F5D" w:rsidRPr="00B138B1">
        <w:rPr>
          <w:b/>
        </w:rPr>
        <w:tab/>
      </w:r>
      <w:r w:rsidR="002C3F5D" w:rsidRPr="00B138B1">
        <w:rPr>
          <w:b/>
        </w:rPr>
        <w:fldChar w:fldCharType="begin">
          <w:ffData>
            <w:name w:val="Check2"/>
            <w:enabled/>
            <w:calcOnExit w:val="0"/>
            <w:checkBox>
              <w:sizeAuto/>
              <w:default w:val="0"/>
            </w:checkBox>
          </w:ffData>
        </w:fldChar>
      </w:r>
      <w:r w:rsidR="002C3F5D" w:rsidRPr="00B138B1">
        <w:rPr>
          <w:b/>
        </w:rPr>
        <w:instrText xml:space="preserve"> FORMCHECKBOX </w:instrText>
      </w:r>
      <w:r w:rsidR="0084660B">
        <w:rPr>
          <w:b/>
        </w:rPr>
      </w:r>
      <w:r w:rsidR="0084660B">
        <w:rPr>
          <w:b/>
        </w:rPr>
        <w:fldChar w:fldCharType="separate"/>
      </w:r>
      <w:r w:rsidR="002C3F5D" w:rsidRPr="00B138B1">
        <w:rPr>
          <w:b/>
        </w:rPr>
        <w:fldChar w:fldCharType="end"/>
      </w:r>
      <w:r w:rsidR="002C3F5D" w:rsidRPr="00B138B1">
        <w:rPr>
          <w:b/>
        </w:rPr>
        <w:t xml:space="preserve"> Partially Met</w:t>
      </w:r>
      <w:r w:rsidR="002C3F5D" w:rsidRPr="00B138B1">
        <w:rPr>
          <w:b/>
        </w:rPr>
        <w:tab/>
      </w:r>
      <w:r w:rsidR="002C3F5D" w:rsidRPr="00B138B1">
        <w:rPr>
          <w:b/>
        </w:rPr>
        <w:fldChar w:fldCharType="begin">
          <w:ffData>
            <w:name w:val="Check3"/>
            <w:enabled/>
            <w:calcOnExit w:val="0"/>
            <w:checkBox>
              <w:sizeAuto/>
              <w:default w:val="0"/>
            </w:checkBox>
          </w:ffData>
        </w:fldChar>
      </w:r>
      <w:r w:rsidR="002C3F5D" w:rsidRPr="00B138B1">
        <w:rPr>
          <w:b/>
        </w:rPr>
        <w:instrText xml:space="preserve"> FORMCHECKBOX </w:instrText>
      </w:r>
      <w:r w:rsidR="0084660B">
        <w:rPr>
          <w:b/>
        </w:rPr>
      </w:r>
      <w:r w:rsidR="0084660B">
        <w:rPr>
          <w:b/>
        </w:rPr>
        <w:fldChar w:fldCharType="separate"/>
      </w:r>
      <w:r w:rsidR="002C3F5D" w:rsidRPr="00B138B1">
        <w:rPr>
          <w:b/>
        </w:rPr>
        <w:fldChar w:fldCharType="end"/>
      </w:r>
      <w:r w:rsidR="002C3F5D" w:rsidRPr="00B138B1">
        <w:rPr>
          <w:b/>
        </w:rPr>
        <w:t xml:space="preserve"> Not Met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C568F0" w:rsidRPr="00B74AFA" w14:paraId="514EDE22" w14:textId="77777777" w:rsidTr="00B74AFA">
        <w:tc>
          <w:tcPr>
            <w:tcW w:w="9016" w:type="dxa"/>
            <w:shd w:val="clear" w:color="auto" w:fill="F2F2F2" w:themeFill="background1" w:themeFillShade="F2"/>
          </w:tcPr>
          <w:p w14:paraId="4F1770CA" w14:textId="2A8A44B1" w:rsidR="00C568F0" w:rsidRPr="00B74AFA" w:rsidRDefault="00B74AFA" w:rsidP="00C3530A">
            <w:pPr>
              <w:rPr>
                <w:i/>
              </w:rPr>
            </w:pPr>
            <w:r w:rsidRPr="00B74AFA">
              <w:rPr>
                <w:i/>
              </w:rPr>
              <w:t xml:space="preserve">NOPTA assesses that it has met KPI 3. </w:t>
            </w:r>
            <w:r w:rsidR="003758AF">
              <w:rPr>
                <w:i/>
              </w:rPr>
              <w:t xml:space="preserve">This is evident through positive stakeholder feedback received in relation to </w:t>
            </w:r>
            <w:r w:rsidR="00702AA2">
              <w:rPr>
                <w:i/>
              </w:rPr>
              <w:t xml:space="preserve">our function and role, including our approach to compliance. </w:t>
            </w:r>
          </w:p>
        </w:tc>
      </w:tr>
    </w:tbl>
    <w:p w14:paraId="59AC95A4" w14:textId="77777777" w:rsidR="00C568F0" w:rsidRPr="00772396" w:rsidRDefault="00C568F0" w:rsidP="00C3530A">
      <w:pPr>
        <w:spacing w:after="0" w:line="240" w:lineRule="auto"/>
      </w:pPr>
    </w:p>
    <w:p w14:paraId="43F47452" w14:textId="26019986" w:rsidR="002023CB" w:rsidRDefault="002023CB" w:rsidP="00C3530A">
      <w:pPr>
        <w:pStyle w:val="ListParagraph"/>
        <w:numPr>
          <w:ilvl w:val="0"/>
          <w:numId w:val="29"/>
        </w:numPr>
        <w:spacing w:before="0" w:after="120"/>
        <w:ind w:left="426" w:hanging="426"/>
        <w:contextualSpacing w:val="0"/>
      </w:pPr>
      <w:bookmarkStart w:id="40" w:name="_Toc497215480"/>
      <w:r>
        <w:rPr>
          <w:rFonts w:asciiTheme="minorHAnsi" w:hAnsiTheme="minorHAnsi"/>
          <w:color w:val="auto"/>
          <w:sz w:val="22"/>
          <w:szCs w:val="22"/>
        </w:rPr>
        <w:t>98 per cent of</w:t>
      </w:r>
      <w:r w:rsidRPr="0083084B">
        <w:rPr>
          <w:rFonts w:asciiTheme="minorHAnsi" w:hAnsiTheme="minorHAnsi"/>
          <w:color w:val="auto"/>
          <w:sz w:val="22"/>
          <w:szCs w:val="22"/>
        </w:rPr>
        <w:t xml:space="preserve"> </w:t>
      </w:r>
      <w:r w:rsidR="00971F94">
        <w:rPr>
          <w:rFonts w:asciiTheme="minorHAnsi" w:hAnsiTheme="minorHAnsi"/>
          <w:color w:val="auto"/>
          <w:sz w:val="22"/>
          <w:szCs w:val="22"/>
        </w:rPr>
        <w:t>t</w:t>
      </w:r>
      <w:r w:rsidR="00E06226">
        <w:rPr>
          <w:rFonts w:asciiTheme="minorHAnsi" w:hAnsiTheme="minorHAnsi"/>
          <w:color w:val="auto"/>
          <w:sz w:val="22"/>
          <w:szCs w:val="22"/>
        </w:rPr>
        <w:t>itleholders</w:t>
      </w:r>
      <w:r>
        <w:rPr>
          <w:rFonts w:asciiTheme="minorHAnsi" w:hAnsiTheme="minorHAnsi"/>
          <w:color w:val="auto"/>
          <w:sz w:val="22"/>
          <w:szCs w:val="22"/>
        </w:rPr>
        <w:t xml:space="preserve"> surveyed</w:t>
      </w:r>
      <w:r w:rsidRPr="0083084B">
        <w:rPr>
          <w:rFonts w:asciiTheme="minorHAnsi" w:hAnsiTheme="minorHAnsi"/>
          <w:color w:val="auto"/>
          <w:sz w:val="22"/>
          <w:szCs w:val="22"/>
        </w:rPr>
        <w:t xml:space="preserve"> </w:t>
      </w:r>
      <w:r>
        <w:rPr>
          <w:rFonts w:asciiTheme="minorHAnsi" w:hAnsiTheme="minorHAnsi"/>
          <w:color w:val="auto"/>
          <w:sz w:val="22"/>
          <w:szCs w:val="22"/>
        </w:rPr>
        <w:t>indicated</w:t>
      </w:r>
      <w:r w:rsidRPr="0083084B">
        <w:rPr>
          <w:rFonts w:asciiTheme="minorHAnsi" w:hAnsiTheme="minorHAnsi"/>
          <w:color w:val="auto"/>
          <w:sz w:val="22"/>
          <w:szCs w:val="22"/>
        </w:rPr>
        <w:t xml:space="preserve"> the time and effort they spend on compliance as reasonable to ‘a great extent’ or ‘some extent’, given the regulatory risk NOPTA manages.</w:t>
      </w:r>
      <w:r>
        <w:rPr>
          <w:rFonts w:asciiTheme="minorHAnsi" w:hAnsiTheme="minorHAnsi"/>
          <w:color w:val="auto"/>
          <w:sz w:val="22"/>
          <w:szCs w:val="22"/>
        </w:rPr>
        <w:t xml:space="preserve"> </w:t>
      </w:r>
    </w:p>
    <w:p w14:paraId="52180248" w14:textId="63717C6B" w:rsidR="0083084B" w:rsidRPr="00832457" w:rsidRDefault="0083084B" w:rsidP="00C3530A">
      <w:pPr>
        <w:pStyle w:val="ListParagraph"/>
        <w:numPr>
          <w:ilvl w:val="0"/>
          <w:numId w:val="2"/>
        </w:numPr>
        <w:spacing w:before="0" w:after="120"/>
        <w:ind w:left="426" w:hanging="426"/>
        <w:contextualSpacing w:val="0"/>
        <w:rPr>
          <w:rFonts w:asciiTheme="minorHAnsi" w:hAnsiTheme="minorHAnsi"/>
          <w:color w:val="auto"/>
          <w:sz w:val="22"/>
          <w:szCs w:val="22"/>
        </w:rPr>
      </w:pPr>
      <w:r w:rsidRPr="00832457">
        <w:rPr>
          <w:rFonts w:asciiTheme="minorHAnsi" w:hAnsiTheme="minorHAnsi"/>
          <w:color w:val="auto"/>
          <w:sz w:val="22"/>
          <w:szCs w:val="22"/>
        </w:rPr>
        <w:t>NOPTA</w:t>
      </w:r>
      <w:r w:rsidR="00807397">
        <w:rPr>
          <w:rFonts w:asciiTheme="minorHAnsi" w:hAnsiTheme="minorHAnsi"/>
          <w:color w:val="auto"/>
          <w:sz w:val="22"/>
          <w:szCs w:val="22"/>
        </w:rPr>
        <w:t xml:space="preserve"> maintains a</w:t>
      </w:r>
      <w:r w:rsidRPr="00832457">
        <w:rPr>
          <w:rFonts w:asciiTheme="minorHAnsi" w:hAnsiTheme="minorHAnsi"/>
          <w:color w:val="auto"/>
          <w:sz w:val="22"/>
          <w:szCs w:val="22"/>
        </w:rPr>
        <w:t xml:space="preserve"> risk </w:t>
      </w:r>
      <w:r>
        <w:rPr>
          <w:rFonts w:asciiTheme="minorHAnsi" w:hAnsiTheme="minorHAnsi"/>
          <w:color w:val="auto"/>
          <w:sz w:val="22"/>
          <w:szCs w:val="22"/>
        </w:rPr>
        <w:t>register</w:t>
      </w:r>
      <w:r w:rsidR="00807397">
        <w:rPr>
          <w:rFonts w:asciiTheme="minorHAnsi" w:hAnsiTheme="minorHAnsi"/>
          <w:color w:val="auto"/>
          <w:sz w:val="22"/>
          <w:szCs w:val="22"/>
        </w:rPr>
        <w:t xml:space="preserve"> </w:t>
      </w:r>
      <w:r w:rsidR="007D1814">
        <w:rPr>
          <w:rFonts w:asciiTheme="minorHAnsi" w:hAnsiTheme="minorHAnsi"/>
          <w:color w:val="auto"/>
          <w:sz w:val="22"/>
          <w:szCs w:val="22"/>
        </w:rPr>
        <w:t>which is</w:t>
      </w:r>
      <w:r w:rsidRPr="00832457">
        <w:rPr>
          <w:rFonts w:asciiTheme="minorHAnsi" w:hAnsiTheme="minorHAnsi"/>
          <w:color w:val="auto"/>
          <w:sz w:val="22"/>
          <w:szCs w:val="22"/>
        </w:rPr>
        <w:t xml:space="preserve"> reviewed quarterly and </w:t>
      </w:r>
      <w:r>
        <w:rPr>
          <w:rFonts w:asciiTheme="minorHAnsi" w:hAnsiTheme="minorHAnsi"/>
          <w:color w:val="auto"/>
          <w:sz w:val="22"/>
          <w:szCs w:val="22"/>
        </w:rPr>
        <w:t>amend</w:t>
      </w:r>
      <w:r w:rsidRPr="00832457">
        <w:rPr>
          <w:rFonts w:asciiTheme="minorHAnsi" w:hAnsiTheme="minorHAnsi"/>
          <w:color w:val="auto"/>
          <w:sz w:val="22"/>
          <w:szCs w:val="22"/>
        </w:rPr>
        <w:t>ed when new risks or changes to existing risks are identified.</w:t>
      </w:r>
      <w:r w:rsidR="00807397">
        <w:rPr>
          <w:rFonts w:asciiTheme="minorHAnsi" w:hAnsiTheme="minorHAnsi"/>
          <w:color w:val="auto"/>
          <w:sz w:val="22"/>
          <w:szCs w:val="22"/>
        </w:rPr>
        <w:t xml:space="preserve"> </w:t>
      </w:r>
      <w:r w:rsidR="00A42C53">
        <w:rPr>
          <w:rFonts w:asciiTheme="minorHAnsi" w:hAnsiTheme="minorHAnsi"/>
          <w:color w:val="auto"/>
          <w:sz w:val="22"/>
          <w:szCs w:val="22"/>
        </w:rPr>
        <w:t>All staff are encouraged to actively engage with the register</w:t>
      </w:r>
      <w:r w:rsidR="004F4A23">
        <w:rPr>
          <w:rFonts w:asciiTheme="minorHAnsi" w:hAnsiTheme="minorHAnsi"/>
          <w:color w:val="auto"/>
          <w:sz w:val="22"/>
          <w:szCs w:val="22"/>
        </w:rPr>
        <w:t xml:space="preserve">, </w:t>
      </w:r>
      <w:r w:rsidR="00A42C53">
        <w:rPr>
          <w:rFonts w:asciiTheme="minorHAnsi" w:hAnsiTheme="minorHAnsi"/>
          <w:color w:val="auto"/>
          <w:sz w:val="22"/>
          <w:szCs w:val="22"/>
        </w:rPr>
        <w:t>incorporat</w:t>
      </w:r>
      <w:r w:rsidR="004F4A23">
        <w:rPr>
          <w:rFonts w:asciiTheme="minorHAnsi" w:hAnsiTheme="minorHAnsi"/>
          <w:color w:val="auto"/>
          <w:sz w:val="22"/>
          <w:szCs w:val="22"/>
        </w:rPr>
        <w:t>ing</w:t>
      </w:r>
      <w:r w:rsidR="00A42C53">
        <w:rPr>
          <w:rFonts w:asciiTheme="minorHAnsi" w:hAnsiTheme="minorHAnsi"/>
          <w:color w:val="auto"/>
          <w:sz w:val="22"/>
          <w:szCs w:val="22"/>
        </w:rPr>
        <w:t xml:space="preserve"> potential </w:t>
      </w:r>
      <w:r w:rsidR="0034645C">
        <w:rPr>
          <w:rFonts w:asciiTheme="minorHAnsi" w:hAnsiTheme="minorHAnsi"/>
          <w:color w:val="auto"/>
          <w:sz w:val="22"/>
          <w:szCs w:val="22"/>
        </w:rPr>
        <w:t xml:space="preserve">implications </w:t>
      </w:r>
      <w:r w:rsidR="00A42C53">
        <w:rPr>
          <w:rFonts w:asciiTheme="minorHAnsi" w:hAnsiTheme="minorHAnsi"/>
          <w:color w:val="auto"/>
          <w:sz w:val="22"/>
          <w:szCs w:val="22"/>
        </w:rPr>
        <w:t>in</w:t>
      </w:r>
      <w:r w:rsidR="0034645C">
        <w:rPr>
          <w:rFonts w:asciiTheme="minorHAnsi" w:hAnsiTheme="minorHAnsi"/>
          <w:color w:val="auto"/>
          <w:sz w:val="22"/>
          <w:szCs w:val="22"/>
        </w:rPr>
        <w:t>to</w:t>
      </w:r>
      <w:r w:rsidR="00A42C53">
        <w:rPr>
          <w:rFonts w:asciiTheme="minorHAnsi" w:hAnsiTheme="minorHAnsi"/>
          <w:color w:val="auto"/>
          <w:sz w:val="22"/>
          <w:szCs w:val="22"/>
        </w:rPr>
        <w:t xml:space="preserve"> day-to-day tasks. </w:t>
      </w:r>
      <w:r w:rsidR="00807397">
        <w:rPr>
          <w:rFonts w:asciiTheme="minorHAnsi" w:hAnsiTheme="minorHAnsi"/>
          <w:color w:val="auto"/>
          <w:sz w:val="22"/>
          <w:szCs w:val="22"/>
        </w:rPr>
        <w:t xml:space="preserve">The process for conducting </w:t>
      </w:r>
      <w:r w:rsidR="006B1F16">
        <w:rPr>
          <w:rFonts w:asciiTheme="minorHAnsi" w:hAnsiTheme="minorHAnsi"/>
          <w:color w:val="auto"/>
          <w:sz w:val="22"/>
          <w:szCs w:val="22"/>
        </w:rPr>
        <w:t xml:space="preserve">risk </w:t>
      </w:r>
      <w:r w:rsidR="007D1814">
        <w:rPr>
          <w:rFonts w:asciiTheme="minorHAnsi" w:hAnsiTheme="minorHAnsi"/>
          <w:color w:val="auto"/>
          <w:sz w:val="22"/>
          <w:szCs w:val="22"/>
        </w:rPr>
        <w:t>review</w:t>
      </w:r>
      <w:r w:rsidR="006B1F16">
        <w:rPr>
          <w:rFonts w:asciiTheme="minorHAnsi" w:hAnsiTheme="minorHAnsi"/>
          <w:color w:val="auto"/>
          <w:sz w:val="22"/>
          <w:szCs w:val="22"/>
        </w:rPr>
        <w:t>s, including how matters should be escalated if they arise</w:t>
      </w:r>
      <w:r w:rsidR="004F4A23">
        <w:rPr>
          <w:rFonts w:asciiTheme="minorHAnsi" w:hAnsiTheme="minorHAnsi"/>
          <w:color w:val="auto"/>
          <w:sz w:val="22"/>
          <w:szCs w:val="22"/>
        </w:rPr>
        <w:t>,</w:t>
      </w:r>
      <w:r w:rsidR="006B1F16">
        <w:rPr>
          <w:rFonts w:asciiTheme="minorHAnsi" w:hAnsiTheme="minorHAnsi"/>
          <w:color w:val="auto"/>
          <w:sz w:val="22"/>
          <w:szCs w:val="22"/>
        </w:rPr>
        <w:t xml:space="preserve"> is </w:t>
      </w:r>
      <w:r w:rsidR="0034645C">
        <w:rPr>
          <w:rFonts w:asciiTheme="minorHAnsi" w:hAnsiTheme="minorHAnsi"/>
          <w:color w:val="auto"/>
          <w:sz w:val="22"/>
          <w:szCs w:val="22"/>
        </w:rPr>
        <w:t xml:space="preserve">consistent with the </w:t>
      </w:r>
      <w:r w:rsidR="005D5D82">
        <w:rPr>
          <w:rFonts w:asciiTheme="minorHAnsi" w:hAnsiTheme="minorHAnsi"/>
          <w:color w:val="auto"/>
          <w:sz w:val="22"/>
          <w:szCs w:val="22"/>
        </w:rPr>
        <w:t>department’s</w:t>
      </w:r>
      <w:r w:rsidR="0034645C">
        <w:rPr>
          <w:rFonts w:asciiTheme="minorHAnsi" w:hAnsiTheme="minorHAnsi"/>
          <w:color w:val="auto"/>
          <w:sz w:val="22"/>
          <w:szCs w:val="22"/>
        </w:rPr>
        <w:t xml:space="preserve"> risk management framework</w:t>
      </w:r>
      <w:r w:rsidR="006B1F16">
        <w:rPr>
          <w:rFonts w:asciiTheme="minorHAnsi" w:hAnsiTheme="minorHAnsi"/>
          <w:color w:val="auto"/>
          <w:sz w:val="22"/>
          <w:szCs w:val="22"/>
        </w:rPr>
        <w:t xml:space="preserve">. </w:t>
      </w:r>
      <w:r w:rsidR="007D1814">
        <w:rPr>
          <w:rFonts w:asciiTheme="minorHAnsi" w:hAnsiTheme="minorHAnsi"/>
          <w:color w:val="auto"/>
          <w:sz w:val="22"/>
          <w:szCs w:val="22"/>
        </w:rPr>
        <w:t xml:space="preserve"> </w:t>
      </w:r>
      <w:r w:rsidRPr="00832457">
        <w:rPr>
          <w:rFonts w:asciiTheme="minorHAnsi" w:hAnsiTheme="minorHAnsi"/>
          <w:color w:val="auto"/>
          <w:sz w:val="22"/>
          <w:szCs w:val="22"/>
        </w:rPr>
        <w:t xml:space="preserve"> </w:t>
      </w:r>
    </w:p>
    <w:p w14:paraId="7E1C693B" w14:textId="13BEF3F5" w:rsidR="0083084B" w:rsidRDefault="0083084B" w:rsidP="00C3530A">
      <w:pPr>
        <w:pStyle w:val="ListParagraph"/>
        <w:numPr>
          <w:ilvl w:val="0"/>
          <w:numId w:val="2"/>
        </w:numPr>
        <w:spacing w:before="0" w:after="120"/>
        <w:ind w:left="426" w:hanging="426"/>
        <w:contextualSpacing w:val="0"/>
        <w:rPr>
          <w:rFonts w:asciiTheme="minorHAnsi" w:hAnsiTheme="minorHAnsi"/>
          <w:color w:val="auto"/>
          <w:sz w:val="22"/>
          <w:szCs w:val="22"/>
        </w:rPr>
      </w:pPr>
      <w:r>
        <w:rPr>
          <w:rFonts w:asciiTheme="minorHAnsi" w:hAnsiTheme="minorHAnsi"/>
          <w:color w:val="auto"/>
          <w:sz w:val="22"/>
          <w:szCs w:val="22"/>
        </w:rPr>
        <w:t>NOPTA’s</w:t>
      </w:r>
      <w:r w:rsidRPr="00832457">
        <w:rPr>
          <w:rFonts w:asciiTheme="minorHAnsi" w:hAnsiTheme="minorHAnsi"/>
          <w:color w:val="auto"/>
          <w:sz w:val="22"/>
          <w:szCs w:val="22"/>
        </w:rPr>
        <w:t xml:space="preserve"> approach to compliance and enforcement is published on </w:t>
      </w:r>
      <w:r>
        <w:rPr>
          <w:rFonts w:asciiTheme="minorHAnsi" w:hAnsiTheme="minorHAnsi"/>
          <w:color w:val="auto"/>
          <w:sz w:val="22"/>
          <w:szCs w:val="22"/>
        </w:rPr>
        <w:t>its</w:t>
      </w:r>
      <w:r w:rsidRPr="00832457">
        <w:rPr>
          <w:rFonts w:asciiTheme="minorHAnsi" w:hAnsiTheme="minorHAnsi"/>
          <w:color w:val="auto"/>
          <w:sz w:val="22"/>
          <w:szCs w:val="22"/>
        </w:rPr>
        <w:t xml:space="preserve"> </w:t>
      </w:r>
      <w:hyperlink r:id="rId22" w:history="1">
        <w:r w:rsidRPr="00971F94">
          <w:rPr>
            <w:rStyle w:val="Hyperlink"/>
            <w:rFonts w:asciiTheme="minorHAnsi" w:hAnsiTheme="minorHAnsi"/>
            <w:sz w:val="22"/>
            <w:szCs w:val="22"/>
          </w:rPr>
          <w:t>website</w:t>
        </w:r>
      </w:hyperlink>
      <w:r w:rsidRPr="00832457">
        <w:rPr>
          <w:rFonts w:asciiTheme="minorHAnsi" w:hAnsiTheme="minorHAnsi"/>
          <w:color w:val="auto"/>
          <w:sz w:val="22"/>
          <w:szCs w:val="22"/>
        </w:rPr>
        <w:t xml:space="preserve">. The program uses a graduated, </w:t>
      </w:r>
      <w:r w:rsidR="007A469A" w:rsidRPr="00832457">
        <w:rPr>
          <w:rFonts w:asciiTheme="minorHAnsi" w:hAnsiTheme="minorHAnsi"/>
          <w:color w:val="auto"/>
          <w:sz w:val="22"/>
          <w:szCs w:val="22"/>
        </w:rPr>
        <w:t>risk-based</w:t>
      </w:r>
      <w:r w:rsidRPr="00832457">
        <w:rPr>
          <w:rFonts w:asciiTheme="minorHAnsi" w:hAnsiTheme="minorHAnsi"/>
          <w:color w:val="auto"/>
          <w:sz w:val="22"/>
          <w:szCs w:val="22"/>
        </w:rPr>
        <w:t xml:space="preserve"> approach which recognises the nature and seriousness of the issue at hand. </w:t>
      </w:r>
      <w:r w:rsidR="007A469A">
        <w:rPr>
          <w:rFonts w:asciiTheme="minorHAnsi" w:hAnsiTheme="minorHAnsi"/>
          <w:color w:val="auto"/>
          <w:sz w:val="22"/>
          <w:szCs w:val="22"/>
        </w:rPr>
        <w:t>The program is</w:t>
      </w:r>
      <w:r w:rsidR="00A20272">
        <w:rPr>
          <w:rFonts w:asciiTheme="minorHAnsi" w:hAnsiTheme="minorHAnsi"/>
          <w:color w:val="auto"/>
          <w:sz w:val="22"/>
          <w:szCs w:val="22"/>
        </w:rPr>
        <w:t xml:space="preserve"> reviewed and </w:t>
      </w:r>
      <w:r w:rsidR="007A469A">
        <w:rPr>
          <w:rFonts w:asciiTheme="minorHAnsi" w:hAnsiTheme="minorHAnsi"/>
          <w:color w:val="auto"/>
          <w:sz w:val="22"/>
          <w:szCs w:val="22"/>
        </w:rPr>
        <w:t>updated as required.</w:t>
      </w:r>
      <w:r w:rsidR="00D0538E">
        <w:rPr>
          <w:rFonts w:asciiTheme="minorHAnsi" w:hAnsiTheme="minorHAnsi"/>
          <w:color w:val="auto"/>
          <w:sz w:val="22"/>
          <w:szCs w:val="22"/>
        </w:rPr>
        <w:t xml:space="preserve"> </w:t>
      </w:r>
    </w:p>
    <w:p w14:paraId="19378EB3" w14:textId="63DEA8E9" w:rsidR="00A42C53" w:rsidRDefault="00A42C53" w:rsidP="00C3530A">
      <w:pPr>
        <w:pStyle w:val="ListParagraph"/>
        <w:numPr>
          <w:ilvl w:val="0"/>
          <w:numId w:val="2"/>
        </w:numPr>
        <w:spacing w:before="0" w:after="120"/>
        <w:ind w:left="425" w:hanging="425"/>
        <w:contextualSpacing w:val="0"/>
        <w:rPr>
          <w:rFonts w:asciiTheme="minorHAnsi" w:hAnsiTheme="minorHAnsi"/>
          <w:color w:val="auto"/>
          <w:sz w:val="22"/>
          <w:szCs w:val="22"/>
        </w:rPr>
      </w:pPr>
      <w:r>
        <w:rPr>
          <w:rFonts w:asciiTheme="minorHAnsi" w:hAnsiTheme="minorHAnsi"/>
          <w:color w:val="auto"/>
          <w:sz w:val="22"/>
          <w:szCs w:val="22"/>
        </w:rPr>
        <w:t xml:space="preserve">NOPTA operates in accordance with the </w:t>
      </w:r>
      <w:r w:rsidRPr="001744D0">
        <w:rPr>
          <w:rFonts w:asciiTheme="minorHAnsi" w:hAnsiTheme="minorHAnsi"/>
          <w:color w:val="auto"/>
          <w:sz w:val="22"/>
          <w:szCs w:val="22"/>
        </w:rPr>
        <w:t>Minister’s Statement of</w:t>
      </w:r>
      <w:r>
        <w:rPr>
          <w:rFonts w:asciiTheme="minorHAnsi" w:hAnsiTheme="minorHAnsi"/>
          <w:color w:val="auto"/>
          <w:sz w:val="22"/>
          <w:szCs w:val="22"/>
        </w:rPr>
        <w:t xml:space="preserve"> </w:t>
      </w:r>
      <w:r w:rsidRPr="001744D0">
        <w:rPr>
          <w:rFonts w:asciiTheme="minorHAnsi" w:hAnsiTheme="minorHAnsi"/>
          <w:color w:val="auto"/>
          <w:sz w:val="22"/>
          <w:szCs w:val="22"/>
        </w:rPr>
        <w:t>Expectations</w:t>
      </w:r>
      <w:r>
        <w:rPr>
          <w:rFonts w:asciiTheme="minorHAnsi" w:hAnsiTheme="minorHAnsi"/>
          <w:color w:val="auto"/>
          <w:sz w:val="22"/>
          <w:szCs w:val="22"/>
        </w:rPr>
        <w:t xml:space="preserve"> and NOPTA’s </w:t>
      </w:r>
      <w:r w:rsidRPr="001744D0">
        <w:rPr>
          <w:rFonts w:asciiTheme="minorHAnsi" w:hAnsiTheme="minorHAnsi"/>
          <w:color w:val="auto"/>
          <w:sz w:val="22"/>
          <w:szCs w:val="22"/>
        </w:rPr>
        <w:t xml:space="preserve">Statement of Intent </w:t>
      </w:r>
      <w:r>
        <w:rPr>
          <w:rFonts w:asciiTheme="minorHAnsi" w:hAnsiTheme="minorHAnsi"/>
          <w:color w:val="auto"/>
          <w:sz w:val="22"/>
          <w:szCs w:val="22"/>
        </w:rPr>
        <w:t xml:space="preserve">which </w:t>
      </w:r>
      <w:r w:rsidR="00A20272">
        <w:rPr>
          <w:rFonts w:asciiTheme="minorHAnsi" w:hAnsiTheme="minorHAnsi"/>
          <w:color w:val="auto"/>
          <w:sz w:val="22"/>
          <w:szCs w:val="22"/>
        </w:rPr>
        <w:t>are incorporated into corporate and strategic planning</w:t>
      </w:r>
      <w:r w:rsidR="007E4AD7">
        <w:rPr>
          <w:rFonts w:asciiTheme="minorHAnsi" w:hAnsiTheme="minorHAnsi"/>
          <w:color w:val="auto"/>
          <w:sz w:val="22"/>
          <w:szCs w:val="22"/>
        </w:rPr>
        <w:t xml:space="preserve"> and published on the </w:t>
      </w:r>
      <w:hyperlink r:id="rId23" w:history="1">
        <w:r w:rsidR="007E4AD7" w:rsidRPr="007E4AD7">
          <w:rPr>
            <w:rStyle w:val="Hyperlink"/>
            <w:rFonts w:asciiTheme="minorHAnsi" w:hAnsiTheme="minorHAnsi"/>
            <w:sz w:val="22"/>
            <w:szCs w:val="22"/>
          </w:rPr>
          <w:t>NOPTA website</w:t>
        </w:r>
      </w:hyperlink>
      <w:r w:rsidR="00A20272">
        <w:rPr>
          <w:rFonts w:asciiTheme="minorHAnsi" w:hAnsiTheme="minorHAnsi"/>
          <w:color w:val="auto"/>
          <w:sz w:val="22"/>
          <w:szCs w:val="22"/>
        </w:rPr>
        <w:t xml:space="preserve">. </w:t>
      </w:r>
    </w:p>
    <w:p w14:paraId="6C7144D0" w14:textId="7BD77017" w:rsidR="00A27601" w:rsidRPr="00CF74C6" w:rsidRDefault="006B1F16" w:rsidP="00C3530A">
      <w:pPr>
        <w:pStyle w:val="ListParagraph"/>
        <w:numPr>
          <w:ilvl w:val="0"/>
          <w:numId w:val="2"/>
        </w:numPr>
        <w:spacing w:before="0" w:after="120"/>
        <w:ind w:left="425" w:hanging="425"/>
        <w:contextualSpacing w:val="0"/>
        <w:rPr>
          <w:rFonts w:asciiTheme="minorHAnsi" w:hAnsiTheme="minorHAnsi"/>
          <w:color w:val="auto"/>
          <w:sz w:val="22"/>
          <w:szCs w:val="22"/>
        </w:rPr>
      </w:pPr>
      <w:r>
        <w:rPr>
          <w:rFonts w:asciiTheme="minorHAnsi" w:hAnsiTheme="minorHAnsi"/>
          <w:color w:val="auto"/>
          <w:sz w:val="22"/>
          <w:szCs w:val="22"/>
        </w:rPr>
        <w:t>In 2019 NOPTA c</w:t>
      </w:r>
      <w:r w:rsidR="00A27601" w:rsidRPr="00CF74C6">
        <w:rPr>
          <w:rFonts w:asciiTheme="minorHAnsi" w:hAnsiTheme="minorHAnsi"/>
          <w:color w:val="auto"/>
          <w:sz w:val="22"/>
          <w:szCs w:val="22"/>
        </w:rPr>
        <w:t xml:space="preserve">ompleted the transition of </w:t>
      </w:r>
      <w:r>
        <w:rPr>
          <w:rFonts w:asciiTheme="minorHAnsi" w:hAnsiTheme="minorHAnsi"/>
          <w:color w:val="auto"/>
          <w:sz w:val="22"/>
          <w:szCs w:val="22"/>
        </w:rPr>
        <w:t>its</w:t>
      </w:r>
      <w:r w:rsidR="00A27601" w:rsidRPr="00CF74C6">
        <w:rPr>
          <w:rFonts w:asciiTheme="minorHAnsi" w:hAnsiTheme="minorHAnsi"/>
          <w:color w:val="auto"/>
          <w:sz w:val="22"/>
          <w:szCs w:val="22"/>
        </w:rPr>
        <w:t xml:space="preserve"> ICT systems to an Azure cloud-based environment, and an upgrade of </w:t>
      </w:r>
      <w:r w:rsidR="004F4A23">
        <w:rPr>
          <w:rFonts w:asciiTheme="minorHAnsi" w:hAnsiTheme="minorHAnsi"/>
          <w:color w:val="auto"/>
          <w:sz w:val="22"/>
          <w:szCs w:val="22"/>
        </w:rPr>
        <w:t>its</w:t>
      </w:r>
      <w:r w:rsidR="00A27601" w:rsidRPr="00CF74C6">
        <w:rPr>
          <w:rFonts w:asciiTheme="minorHAnsi" w:hAnsiTheme="minorHAnsi"/>
          <w:color w:val="auto"/>
          <w:sz w:val="22"/>
          <w:szCs w:val="22"/>
        </w:rPr>
        <w:t xml:space="preserve"> ageing desktop and videoconferencing fleet, to meet </w:t>
      </w:r>
      <w:r w:rsidR="00905D4A">
        <w:rPr>
          <w:rFonts w:asciiTheme="minorHAnsi" w:hAnsiTheme="minorHAnsi"/>
          <w:color w:val="auto"/>
          <w:sz w:val="22"/>
          <w:szCs w:val="22"/>
        </w:rPr>
        <w:t xml:space="preserve">evolving </w:t>
      </w:r>
      <w:r w:rsidR="00A27601" w:rsidRPr="00CF74C6">
        <w:rPr>
          <w:rFonts w:asciiTheme="minorHAnsi" w:hAnsiTheme="minorHAnsi"/>
          <w:color w:val="auto"/>
          <w:sz w:val="22"/>
          <w:szCs w:val="22"/>
        </w:rPr>
        <w:t>business requirements</w:t>
      </w:r>
      <w:r w:rsidR="00905D4A">
        <w:rPr>
          <w:rFonts w:asciiTheme="minorHAnsi" w:hAnsiTheme="minorHAnsi"/>
          <w:color w:val="auto"/>
          <w:sz w:val="22"/>
          <w:szCs w:val="22"/>
        </w:rPr>
        <w:t xml:space="preserve">. This transition is expected to produce substantial productivity improvements </w:t>
      </w:r>
      <w:r w:rsidR="00A27601" w:rsidRPr="00CF74C6">
        <w:rPr>
          <w:rFonts w:asciiTheme="minorHAnsi" w:hAnsiTheme="minorHAnsi"/>
          <w:color w:val="auto"/>
          <w:sz w:val="22"/>
          <w:szCs w:val="22"/>
        </w:rPr>
        <w:t xml:space="preserve">and </w:t>
      </w:r>
      <w:r w:rsidR="00905D4A">
        <w:rPr>
          <w:rFonts w:asciiTheme="minorHAnsi" w:hAnsiTheme="minorHAnsi"/>
          <w:color w:val="auto"/>
          <w:sz w:val="22"/>
          <w:szCs w:val="22"/>
        </w:rPr>
        <w:t xml:space="preserve">to </w:t>
      </w:r>
      <w:r w:rsidR="00A27601" w:rsidRPr="00CF74C6">
        <w:rPr>
          <w:rFonts w:asciiTheme="minorHAnsi" w:hAnsiTheme="minorHAnsi"/>
          <w:color w:val="auto"/>
          <w:sz w:val="22"/>
          <w:szCs w:val="22"/>
        </w:rPr>
        <w:t>maintain</w:t>
      </w:r>
      <w:r w:rsidR="00905D4A">
        <w:rPr>
          <w:rFonts w:asciiTheme="minorHAnsi" w:hAnsiTheme="minorHAnsi"/>
          <w:color w:val="auto"/>
          <w:sz w:val="22"/>
          <w:szCs w:val="22"/>
        </w:rPr>
        <w:t>ing</w:t>
      </w:r>
      <w:r w:rsidR="00A27601" w:rsidRPr="00CF74C6">
        <w:rPr>
          <w:rFonts w:asciiTheme="minorHAnsi" w:hAnsiTheme="minorHAnsi"/>
          <w:color w:val="auto"/>
          <w:sz w:val="22"/>
          <w:szCs w:val="22"/>
        </w:rPr>
        <w:t xml:space="preserve"> secure</w:t>
      </w:r>
      <w:r w:rsidR="00905D4A">
        <w:rPr>
          <w:rFonts w:asciiTheme="minorHAnsi" w:hAnsiTheme="minorHAnsi"/>
          <w:color w:val="auto"/>
          <w:sz w:val="22"/>
          <w:szCs w:val="22"/>
        </w:rPr>
        <w:t xml:space="preserve"> and</w:t>
      </w:r>
      <w:r w:rsidR="00A27601" w:rsidRPr="00CF74C6">
        <w:rPr>
          <w:rFonts w:asciiTheme="minorHAnsi" w:hAnsiTheme="minorHAnsi"/>
          <w:color w:val="auto"/>
          <w:sz w:val="22"/>
          <w:szCs w:val="22"/>
        </w:rPr>
        <w:t xml:space="preserve"> reliable ICT systems</w:t>
      </w:r>
      <w:r>
        <w:rPr>
          <w:rFonts w:asciiTheme="minorHAnsi" w:hAnsiTheme="minorHAnsi"/>
          <w:color w:val="auto"/>
          <w:sz w:val="22"/>
          <w:szCs w:val="22"/>
        </w:rPr>
        <w:t>.</w:t>
      </w:r>
    </w:p>
    <w:p w14:paraId="333235A7" w14:textId="13CB1582" w:rsidR="00CF74C6" w:rsidRDefault="00CF74C6" w:rsidP="00C3530A">
      <w:pPr>
        <w:pStyle w:val="ListParagraph"/>
        <w:numPr>
          <w:ilvl w:val="0"/>
          <w:numId w:val="2"/>
        </w:numPr>
        <w:spacing w:before="0" w:after="0"/>
        <w:ind w:left="426" w:hanging="426"/>
        <w:contextualSpacing w:val="0"/>
        <w:rPr>
          <w:rFonts w:asciiTheme="minorHAnsi" w:hAnsiTheme="minorHAnsi"/>
          <w:color w:val="auto"/>
          <w:sz w:val="22"/>
          <w:szCs w:val="22"/>
        </w:rPr>
      </w:pPr>
      <w:r w:rsidRPr="0083084B">
        <w:rPr>
          <w:rFonts w:asciiTheme="minorHAnsi" w:hAnsiTheme="minorHAnsi"/>
          <w:color w:val="auto"/>
          <w:sz w:val="22"/>
          <w:szCs w:val="22"/>
        </w:rPr>
        <w:t>NOPTA encourages feedback on its performance via a dedicated email address (</w:t>
      </w:r>
      <w:hyperlink r:id="rId24" w:history="1">
        <w:r w:rsidR="004F4A23" w:rsidRPr="00271C16">
          <w:rPr>
            <w:rStyle w:val="Hyperlink"/>
            <w:rFonts w:asciiTheme="minorHAnsi" w:hAnsiTheme="minorHAnsi"/>
            <w:sz w:val="22"/>
            <w:szCs w:val="22"/>
          </w:rPr>
          <w:t>feedback@nopta.gov.au</w:t>
        </w:r>
      </w:hyperlink>
      <w:r w:rsidRPr="0083084B">
        <w:rPr>
          <w:rFonts w:asciiTheme="minorHAnsi" w:hAnsiTheme="minorHAnsi"/>
          <w:color w:val="auto"/>
          <w:sz w:val="22"/>
          <w:szCs w:val="22"/>
        </w:rPr>
        <w:t>) located on its website. NOPTA did not receive any formal complaints in 201</w:t>
      </w:r>
      <w:r w:rsidR="00905D4A">
        <w:rPr>
          <w:rFonts w:asciiTheme="minorHAnsi" w:hAnsiTheme="minorHAnsi"/>
          <w:color w:val="auto"/>
          <w:sz w:val="22"/>
          <w:szCs w:val="22"/>
        </w:rPr>
        <w:t>8</w:t>
      </w:r>
      <w:r w:rsidRPr="0083084B">
        <w:rPr>
          <w:rFonts w:asciiTheme="minorHAnsi" w:hAnsiTheme="minorHAnsi"/>
          <w:color w:val="auto"/>
          <w:sz w:val="22"/>
          <w:szCs w:val="22"/>
        </w:rPr>
        <w:t>/1</w:t>
      </w:r>
      <w:r w:rsidR="00905D4A">
        <w:rPr>
          <w:rFonts w:asciiTheme="minorHAnsi" w:hAnsiTheme="minorHAnsi"/>
          <w:color w:val="auto"/>
          <w:sz w:val="22"/>
          <w:szCs w:val="22"/>
        </w:rPr>
        <w:t>9</w:t>
      </w:r>
      <w:r w:rsidRPr="0083084B">
        <w:rPr>
          <w:rFonts w:asciiTheme="minorHAnsi" w:hAnsiTheme="minorHAnsi"/>
          <w:color w:val="auto"/>
          <w:sz w:val="22"/>
          <w:szCs w:val="22"/>
        </w:rPr>
        <w:t>.</w:t>
      </w:r>
      <w:r w:rsidR="004F4A23">
        <w:rPr>
          <w:rFonts w:asciiTheme="minorHAnsi" w:hAnsiTheme="minorHAnsi"/>
          <w:color w:val="auto"/>
          <w:sz w:val="22"/>
          <w:szCs w:val="22"/>
        </w:rPr>
        <w:t xml:space="preserve"> </w:t>
      </w:r>
      <w:r w:rsidRPr="0083084B">
        <w:rPr>
          <w:rFonts w:asciiTheme="minorHAnsi" w:hAnsiTheme="minorHAnsi"/>
          <w:color w:val="auto"/>
          <w:sz w:val="22"/>
          <w:szCs w:val="22"/>
        </w:rPr>
        <w:t xml:space="preserve"> </w:t>
      </w:r>
    </w:p>
    <w:p w14:paraId="7104E1AF" w14:textId="6D67E327" w:rsidR="006352F3" w:rsidRDefault="006352F3" w:rsidP="00C3530A">
      <w:pPr>
        <w:spacing w:after="0" w:line="240" w:lineRule="auto"/>
      </w:pPr>
    </w:p>
    <w:p w14:paraId="45823153" w14:textId="2EAB1532" w:rsidR="006352F3" w:rsidRDefault="006352F3" w:rsidP="00C3530A">
      <w:pPr>
        <w:pBdr>
          <w:bottom w:val="single" w:sz="6" w:space="1" w:color="auto"/>
        </w:pBdr>
        <w:spacing w:after="0" w:line="240" w:lineRule="auto"/>
      </w:pPr>
    </w:p>
    <w:p w14:paraId="3D40E877" w14:textId="77777777" w:rsidR="006352F3" w:rsidRPr="006352F3" w:rsidRDefault="006352F3" w:rsidP="00C3530A">
      <w:pPr>
        <w:spacing w:after="0" w:line="240" w:lineRule="auto"/>
      </w:pPr>
    </w:p>
    <w:p w14:paraId="41D81201" w14:textId="56593070" w:rsidR="00A42C53" w:rsidRDefault="00A42C53" w:rsidP="00C3530A">
      <w:pPr>
        <w:spacing w:after="0" w:line="240" w:lineRule="auto"/>
        <w:jc w:val="both"/>
      </w:pPr>
    </w:p>
    <w:p w14:paraId="489F2F77" w14:textId="77777777" w:rsidR="005921F8" w:rsidRDefault="005921F8">
      <w:pPr>
        <w:rPr>
          <w:rFonts w:eastAsiaTheme="majorEastAsia" w:cstheme="majorBidi"/>
          <w:b/>
          <w:color w:val="1F4E79" w:themeColor="accent1" w:themeShade="80"/>
          <w:sz w:val="26"/>
          <w:szCs w:val="26"/>
        </w:rPr>
      </w:pPr>
      <w:r>
        <w:rPr>
          <w:color w:val="1F4E79" w:themeColor="accent1" w:themeShade="80"/>
        </w:rPr>
        <w:br w:type="page"/>
      </w:r>
    </w:p>
    <w:p w14:paraId="04BA1B62" w14:textId="3169F315" w:rsidR="00772396" w:rsidRPr="006352F3" w:rsidRDefault="006F6665" w:rsidP="00C3530A">
      <w:pPr>
        <w:pStyle w:val="Heading2"/>
        <w:jc w:val="left"/>
        <w:rPr>
          <w:color w:val="1F4E79" w:themeColor="accent1" w:themeShade="80"/>
        </w:rPr>
      </w:pPr>
      <w:bookmarkStart w:id="41" w:name="_Toc20813188"/>
      <w:r w:rsidRPr="006352F3">
        <w:rPr>
          <w:color w:val="1F4E79" w:themeColor="accent1" w:themeShade="80"/>
        </w:rPr>
        <w:lastRenderedPageBreak/>
        <w:t>KPI 4: Compliance and monitoring approaches are streamlined and coordinated</w:t>
      </w:r>
      <w:bookmarkStart w:id="42" w:name="_Toc497215481"/>
      <w:bookmarkEnd w:id="40"/>
      <w:bookmarkEnd w:id="41"/>
    </w:p>
    <w:p w14:paraId="72B922F0" w14:textId="6FF409CF" w:rsidR="006F6665" w:rsidRPr="00772396" w:rsidRDefault="006F6665" w:rsidP="00C3530A">
      <w:pPr>
        <w:pStyle w:val="Heading3"/>
        <w:jc w:val="left"/>
      </w:pPr>
      <w:bookmarkStart w:id="43" w:name="_Toc20813189"/>
      <w:r w:rsidRPr="006352F3">
        <w:rPr>
          <w:color w:val="1F4E79" w:themeColor="accent1" w:themeShade="80"/>
        </w:rPr>
        <w:t>KPI Expectations</w:t>
      </w:r>
      <w:bookmarkEnd w:id="42"/>
      <w:bookmarkEnd w:id="43"/>
    </w:p>
    <w:p w14:paraId="609214A9" w14:textId="7D9CA27D" w:rsidR="00772396" w:rsidRDefault="006F6665" w:rsidP="00C3530A">
      <w:pPr>
        <w:spacing w:after="0" w:line="240" w:lineRule="auto"/>
      </w:pPr>
      <w:r w:rsidRPr="00772396">
        <w:t xml:space="preserve">Information is only requested from regulated entities where it is required to achieve the regulatory objectives. </w:t>
      </w:r>
      <w:r w:rsidR="007F18CA">
        <w:t>Compliance and m</w:t>
      </w:r>
      <w:r w:rsidRPr="00772396">
        <w:t>onitoring approaches are risk based and consider circumstances and operational needs of the regulated entity.</w:t>
      </w:r>
      <w:bookmarkStart w:id="44" w:name="_Toc497215482"/>
    </w:p>
    <w:p w14:paraId="5F2F8D08" w14:textId="77777777" w:rsidR="006F6665" w:rsidRPr="006352F3" w:rsidRDefault="006F6665" w:rsidP="00C3530A">
      <w:pPr>
        <w:pStyle w:val="Heading3"/>
        <w:jc w:val="left"/>
        <w:rPr>
          <w:color w:val="1F4E79" w:themeColor="accent1" w:themeShade="80"/>
        </w:rPr>
      </w:pPr>
      <w:bookmarkStart w:id="45" w:name="_Toc20813190"/>
      <w:r w:rsidRPr="006352F3">
        <w:rPr>
          <w:color w:val="1F4E79" w:themeColor="accent1" w:themeShade="80"/>
        </w:rPr>
        <w:t>NOPTA’s Approach</w:t>
      </w:r>
      <w:bookmarkEnd w:id="44"/>
      <w:bookmarkEnd w:id="45"/>
      <w:r w:rsidRPr="006352F3">
        <w:rPr>
          <w:color w:val="1F4E79" w:themeColor="accent1" w:themeShade="80"/>
        </w:rPr>
        <w:t xml:space="preserve"> </w:t>
      </w:r>
    </w:p>
    <w:p w14:paraId="3E424C7D" w14:textId="1FA1C4BD" w:rsidR="00F22EB4" w:rsidRPr="00F22EB4" w:rsidRDefault="00B17DDC" w:rsidP="00C3530A">
      <w:pPr>
        <w:spacing w:after="120" w:line="240" w:lineRule="auto"/>
      </w:pPr>
      <w:bookmarkStart w:id="46" w:name="_Toc497215483"/>
      <w:r>
        <w:t>NOPTA</w:t>
      </w:r>
      <w:r w:rsidRPr="00F22EB4">
        <w:t xml:space="preserve"> </w:t>
      </w:r>
      <w:r w:rsidR="00F22EB4" w:rsidRPr="00F22EB4">
        <w:t>promote</w:t>
      </w:r>
      <w:r>
        <w:t>s</w:t>
      </w:r>
      <w:r w:rsidR="00F22EB4" w:rsidRPr="00F22EB4">
        <w:t xml:space="preserve"> early engagement with stakeholders on potential non-compliance issues </w:t>
      </w:r>
      <w:r w:rsidR="00B16A91" w:rsidRPr="00F22EB4">
        <w:t>to</w:t>
      </w:r>
      <w:r w:rsidR="00F22EB4" w:rsidRPr="00F22EB4">
        <w:t xml:space="preserve"> maximise the range of options available </w:t>
      </w:r>
      <w:r w:rsidR="007921F9">
        <w:t>and to minimise unintended outcomes for all parties</w:t>
      </w:r>
      <w:r w:rsidR="00F22EB4" w:rsidRPr="00F22EB4">
        <w:t xml:space="preserve">. </w:t>
      </w:r>
      <w:r>
        <w:t>NOPTA</w:t>
      </w:r>
      <w:r w:rsidRPr="00F22EB4">
        <w:t xml:space="preserve"> </w:t>
      </w:r>
      <w:r w:rsidR="00F22EB4" w:rsidRPr="00F22EB4">
        <w:t>ha</w:t>
      </w:r>
      <w:r>
        <w:t>s</w:t>
      </w:r>
      <w:r w:rsidR="00F22EB4" w:rsidRPr="00F22EB4">
        <w:t xml:space="preserve"> </w:t>
      </w:r>
      <w:r w:rsidR="00F22EB4">
        <w:rPr>
          <w:rFonts w:cs="Calibri"/>
        </w:rPr>
        <w:t xml:space="preserve">established internal </w:t>
      </w:r>
      <w:r w:rsidR="00F22EB4" w:rsidRPr="00F22EB4">
        <w:rPr>
          <w:rFonts w:cs="Calibri"/>
        </w:rPr>
        <w:t>information management systems with a specific focus on compliance monitoring</w:t>
      </w:r>
      <w:r w:rsidR="00F22EB4">
        <w:rPr>
          <w:rFonts w:cs="Calibri"/>
        </w:rPr>
        <w:t xml:space="preserve"> </w:t>
      </w:r>
      <w:r w:rsidR="007921F9">
        <w:rPr>
          <w:rFonts w:cs="Calibri"/>
        </w:rPr>
        <w:t xml:space="preserve">to </w:t>
      </w:r>
      <w:r w:rsidR="00F22EB4">
        <w:rPr>
          <w:rFonts w:cs="Calibri"/>
        </w:rPr>
        <w:t xml:space="preserve">help </w:t>
      </w:r>
      <w:r w:rsidR="00F22EB4">
        <w:t xml:space="preserve">recognise when new information is required or </w:t>
      </w:r>
      <w:r w:rsidR="007921F9">
        <w:t xml:space="preserve">if </w:t>
      </w:r>
      <w:r w:rsidR="00F22EB4">
        <w:t>the information is already held by NOPTA.</w:t>
      </w:r>
    </w:p>
    <w:p w14:paraId="107D366C" w14:textId="77777777" w:rsidR="006F6665" w:rsidRPr="00B138B1" w:rsidRDefault="006F6665" w:rsidP="00C3530A">
      <w:pPr>
        <w:spacing w:line="240" w:lineRule="auto"/>
        <w:rPr>
          <w:b/>
        </w:rPr>
      </w:pPr>
      <w:r w:rsidRPr="00B138B1">
        <w:rPr>
          <w:b/>
        </w:rPr>
        <w:t>Results</w:t>
      </w:r>
      <w:bookmarkEnd w:id="46"/>
      <w:r w:rsidR="002C3F5D" w:rsidRPr="00B138B1">
        <w:rPr>
          <w:b/>
        </w:rPr>
        <w:t xml:space="preserve">: </w:t>
      </w:r>
      <w:r w:rsidR="002C3F5D" w:rsidRPr="00B138B1">
        <w:rPr>
          <w:b/>
        </w:rPr>
        <w:tab/>
      </w:r>
      <w:r w:rsidR="002C3F5D" w:rsidRPr="00B138B1">
        <w:rPr>
          <w:b/>
        </w:rPr>
        <w:fldChar w:fldCharType="begin">
          <w:ffData>
            <w:name w:val="Check1"/>
            <w:enabled/>
            <w:calcOnExit w:val="0"/>
            <w:checkBox>
              <w:sizeAuto/>
              <w:default w:val="1"/>
            </w:checkBox>
          </w:ffData>
        </w:fldChar>
      </w:r>
      <w:r w:rsidR="002C3F5D" w:rsidRPr="00B138B1">
        <w:rPr>
          <w:b/>
        </w:rPr>
        <w:instrText xml:space="preserve"> FORMCHECKBOX </w:instrText>
      </w:r>
      <w:r w:rsidR="0084660B">
        <w:rPr>
          <w:b/>
        </w:rPr>
      </w:r>
      <w:r w:rsidR="0084660B">
        <w:rPr>
          <w:b/>
        </w:rPr>
        <w:fldChar w:fldCharType="separate"/>
      </w:r>
      <w:r w:rsidR="002C3F5D" w:rsidRPr="00B138B1">
        <w:rPr>
          <w:b/>
        </w:rPr>
        <w:fldChar w:fldCharType="end"/>
      </w:r>
      <w:r w:rsidR="002C3F5D" w:rsidRPr="00B138B1">
        <w:rPr>
          <w:b/>
        </w:rPr>
        <w:t xml:space="preserve"> Met</w:t>
      </w:r>
      <w:r w:rsidR="002C3F5D" w:rsidRPr="00B138B1">
        <w:rPr>
          <w:b/>
        </w:rPr>
        <w:tab/>
      </w:r>
      <w:r w:rsidR="002C3F5D" w:rsidRPr="00B138B1">
        <w:rPr>
          <w:b/>
        </w:rPr>
        <w:tab/>
      </w:r>
      <w:r w:rsidR="002C3F5D" w:rsidRPr="00B138B1">
        <w:rPr>
          <w:b/>
        </w:rPr>
        <w:fldChar w:fldCharType="begin">
          <w:ffData>
            <w:name w:val="Check2"/>
            <w:enabled/>
            <w:calcOnExit w:val="0"/>
            <w:checkBox>
              <w:sizeAuto/>
              <w:default w:val="0"/>
            </w:checkBox>
          </w:ffData>
        </w:fldChar>
      </w:r>
      <w:r w:rsidR="002C3F5D" w:rsidRPr="00B138B1">
        <w:rPr>
          <w:b/>
        </w:rPr>
        <w:instrText xml:space="preserve"> FORMCHECKBOX </w:instrText>
      </w:r>
      <w:r w:rsidR="0084660B">
        <w:rPr>
          <w:b/>
        </w:rPr>
      </w:r>
      <w:r w:rsidR="0084660B">
        <w:rPr>
          <w:b/>
        </w:rPr>
        <w:fldChar w:fldCharType="separate"/>
      </w:r>
      <w:r w:rsidR="002C3F5D" w:rsidRPr="00B138B1">
        <w:rPr>
          <w:b/>
        </w:rPr>
        <w:fldChar w:fldCharType="end"/>
      </w:r>
      <w:r w:rsidR="002C3F5D" w:rsidRPr="00B138B1">
        <w:rPr>
          <w:b/>
        </w:rPr>
        <w:t xml:space="preserve"> Partially Met</w:t>
      </w:r>
      <w:r w:rsidR="002C3F5D" w:rsidRPr="00B138B1">
        <w:rPr>
          <w:b/>
        </w:rPr>
        <w:tab/>
      </w:r>
      <w:r w:rsidR="002C3F5D" w:rsidRPr="00B138B1">
        <w:rPr>
          <w:b/>
        </w:rPr>
        <w:fldChar w:fldCharType="begin">
          <w:ffData>
            <w:name w:val="Check3"/>
            <w:enabled/>
            <w:calcOnExit w:val="0"/>
            <w:checkBox>
              <w:sizeAuto/>
              <w:default w:val="0"/>
            </w:checkBox>
          </w:ffData>
        </w:fldChar>
      </w:r>
      <w:r w:rsidR="002C3F5D" w:rsidRPr="00B138B1">
        <w:rPr>
          <w:b/>
        </w:rPr>
        <w:instrText xml:space="preserve"> FORMCHECKBOX </w:instrText>
      </w:r>
      <w:r w:rsidR="0084660B">
        <w:rPr>
          <w:b/>
        </w:rPr>
      </w:r>
      <w:r w:rsidR="0084660B">
        <w:rPr>
          <w:b/>
        </w:rPr>
        <w:fldChar w:fldCharType="separate"/>
      </w:r>
      <w:r w:rsidR="002C3F5D" w:rsidRPr="00B138B1">
        <w:rPr>
          <w:b/>
        </w:rPr>
        <w:fldChar w:fldCharType="end"/>
      </w:r>
      <w:r w:rsidR="002C3F5D" w:rsidRPr="00B138B1">
        <w:rPr>
          <w:b/>
        </w:rPr>
        <w:t xml:space="preserve"> Not Met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6F536E" w14:paraId="6D370294" w14:textId="77777777" w:rsidTr="006F536E">
        <w:tc>
          <w:tcPr>
            <w:tcW w:w="9016" w:type="dxa"/>
            <w:shd w:val="clear" w:color="auto" w:fill="F2F2F2" w:themeFill="background1" w:themeFillShade="F2"/>
          </w:tcPr>
          <w:p w14:paraId="2E9D8D00" w14:textId="520DB7E8" w:rsidR="006F536E" w:rsidRPr="006F536E" w:rsidRDefault="006F536E" w:rsidP="00C3530A">
            <w:pPr>
              <w:rPr>
                <w:i/>
              </w:rPr>
            </w:pPr>
            <w:r w:rsidRPr="006F536E">
              <w:rPr>
                <w:i/>
              </w:rPr>
              <w:t xml:space="preserve">NOPTA assesses that it has met KPI 4. </w:t>
            </w:r>
            <w:r w:rsidR="00370558">
              <w:rPr>
                <w:i/>
              </w:rPr>
              <w:t xml:space="preserve">This is evident through positive stakeholder feedback in </w:t>
            </w:r>
            <w:r w:rsidR="00370558" w:rsidRPr="00370558">
              <w:rPr>
                <w:i/>
              </w:rPr>
              <w:t xml:space="preserve">relation to the appropriateness of the NOPTA information requests and the mechanisms through which this was obtained. </w:t>
            </w:r>
          </w:p>
        </w:tc>
      </w:tr>
    </w:tbl>
    <w:p w14:paraId="726ACFD7" w14:textId="77777777" w:rsidR="006F536E" w:rsidRPr="00772396" w:rsidRDefault="006F536E" w:rsidP="00C3530A">
      <w:pPr>
        <w:spacing w:after="0" w:line="240" w:lineRule="auto"/>
      </w:pPr>
    </w:p>
    <w:p w14:paraId="29F7B4EB" w14:textId="4A8EDE4F" w:rsidR="009A38AE" w:rsidRPr="009574E1" w:rsidRDefault="004E5EE0" w:rsidP="00C3530A">
      <w:pPr>
        <w:pStyle w:val="ListParagraph"/>
        <w:numPr>
          <w:ilvl w:val="0"/>
          <w:numId w:val="44"/>
        </w:numPr>
        <w:spacing w:before="0" w:after="120"/>
        <w:contextualSpacing w:val="0"/>
        <w:rPr>
          <w:sz w:val="22"/>
          <w:szCs w:val="22"/>
        </w:rPr>
      </w:pPr>
      <w:bookmarkStart w:id="47" w:name="_Toc497215484"/>
      <w:r w:rsidRPr="006352F3">
        <w:rPr>
          <w:rFonts w:asciiTheme="minorHAnsi" w:hAnsiTheme="minorHAnsi"/>
          <w:color w:val="auto"/>
          <w:sz w:val="22"/>
          <w:szCs w:val="22"/>
        </w:rPr>
        <w:t xml:space="preserve">Respondents to the survey agreed to a ‘great’ or to ‘some’ extent, that NOPTA requests for information were coordinated with other related requests (94 per cent), reasonable in terms of the effort required to address </w:t>
      </w:r>
      <w:r w:rsidR="00A754D2">
        <w:rPr>
          <w:rFonts w:asciiTheme="minorHAnsi" w:hAnsiTheme="minorHAnsi"/>
          <w:color w:val="auto"/>
          <w:sz w:val="22"/>
          <w:szCs w:val="22"/>
        </w:rPr>
        <w:t xml:space="preserve">the request </w:t>
      </w:r>
      <w:r w:rsidRPr="006352F3">
        <w:rPr>
          <w:rFonts w:asciiTheme="minorHAnsi" w:hAnsiTheme="minorHAnsi"/>
          <w:color w:val="auto"/>
          <w:sz w:val="22"/>
          <w:szCs w:val="22"/>
        </w:rPr>
        <w:t xml:space="preserve">(96 per cent), and clear in terms of the information required (93 per cent). </w:t>
      </w:r>
      <w:r w:rsidR="005D2009" w:rsidRPr="006352F3">
        <w:rPr>
          <w:rFonts w:asciiTheme="minorHAnsi" w:hAnsiTheme="minorHAnsi"/>
          <w:color w:val="auto"/>
          <w:sz w:val="22"/>
          <w:szCs w:val="22"/>
        </w:rPr>
        <w:t>This is consistent with findings from the 2017 survey.</w:t>
      </w:r>
    </w:p>
    <w:p w14:paraId="7B18C9AE" w14:textId="156B6164" w:rsidR="004C083E" w:rsidRPr="009574E1" w:rsidRDefault="004C083E" w:rsidP="00C3530A">
      <w:pPr>
        <w:pStyle w:val="ListParagraph"/>
        <w:numPr>
          <w:ilvl w:val="0"/>
          <w:numId w:val="44"/>
        </w:numPr>
        <w:spacing w:before="0" w:after="120"/>
        <w:contextualSpacing w:val="0"/>
        <w:rPr>
          <w:rFonts w:asciiTheme="minorHAnsi" w:hAnsiTheme="minorHAnsi"/>
          <w:color w:val="auto"/>
          <w:sz w:val="22"/>
          <w:szCs w:val="22"/>
        </w:rPr>
      </w:pPr>
      <w:r w:rsidRPr="009574E1">
        <w:rPr>
          <w:rFonts w:asciiTheme="minorHAnsi" w:hAnsiTheme="minorHAnsi"/>
          <w:color w:val="auto"/>
          <w:sz w:val="22"/>
          <w:szCs w:val="22"/>
        </w:rPr>
        <w:t>In terms of the data submission interaction, 83</w:t>
      </w:r>
      <w:r>
        <w:rPr>
          <w:rFonts w:asciiTheme="minorHAnsi" w:hAnsiTheme="minorHAnsi"/>
          <w:color w:val="auto"/>
          <w:sz w:val="22"/>
          <w:szCs w:val="22"/>
        </w:rPr>
        <w:t xml:space="preserve"> per cent</w:t>
      </w:r>
      <w:r w:rsidRPr="009574E1">
        <w:rPr>
          <w:rFonts w:asciiTheme="minorHAnsi" w:hAnsiTheme="minorHAnsi"/>
          <w:color w:val="auto"/>
          <w:sz w:val="22"/>
          <w:szCs w:val="22"/>
        </w:rPr>
        <w:t xml:space="preserve"> of respondents indicated a positive response to the technical expertise of NOPTA staff; 76</w:t>
      </w:r>
      <w:r>
        <w:rPr>
          <w:rFonts w:asciiTheme="minorHAnsi" w:hAnsiTheme="minorHAnsi"/>
          <w:color w:val="auto"/>
          <w:sz w:val="22"/>
          <w:szCs w:val="22"/>
        </w:rPr>
        <w:t xml:space="preserve"> per cent</w:t>
      </w:r>
      <w:r w:rsidRPr="009574E1">
        <w:rPr>
          <w:rFonts w:asciiTheme="minorHAnsi" w:hAnsiTheme="minorHAnsi"/>
          <w:color w:val="auto"/>
          <w:sz w:val="22"/>
          <w:szCs w:val="22"/>
        </w:rPr>
        <w:t xml:space="preserve"> were satisfied with the level of effort required in meeting submission obligations; and 81</w:t>
      </w:r>
      <w:r>
        <w:rPr>
          <w:rFonts w:asciiTheme="minorHAnsi" w:hAnsiTheme="minorHAnsi"/>
          <w:color w:val="auto"/>
          <w:sz w:val="22"/>
          <w:szCs w:val="22"/>
        </w:rPr>
        <w:t xml:space="preserve"> per cent</w:t>
      </w:r>
      <w:r w:rsidRPr="009574E1">
        <w:rPr>
          <w:rFonts w:asciiTheme="minorHAnsi" w:hAnsiTheme="minorHAnsi"/>
          <w:color w:val="auto"/>
          <w:sz w:val="22"/>
          <w:szCs w:val="22"/>
        </w:rPr>
        <w:t xml:space="preserve"> with the guidance material provided by NOPTA’. Further work is intended in relation to regulatory review, with the intention of streamlining submission requirements and reducing ambiguity where appropriate</w:t>
      </w:r>
      <w:r>
        <w:rPr>
          <w:rFonts w:asciiTheme="minorHAnsi" w:hAnsiTheme="minorHAnsi"/>
          <w:color w:val="auto"/>
          <w:sz w:val="22"/>
          <w:szCs w:val="22"/>
        </w:rPr>
        <w:t xml:space="preserve"> (see KPI 6).</w:t>
      </w:r>
    </w:p>
    <w:p w14:paraId="1EF6C201" w14:textId="0A384BAC" w:rsidR="00B570EC" w:rsidRDefault="00113E4A" w:rsidP="00C3530A">
      <w:pPr>
        <w:pStyle w:val="ListParagraph"/>
        <w:numPr>
          <w:ilvl w:val="0"/>
          <w:numId w:val="44"/>
        </w:numPr>
        <w:spacing w:before="0" w:after="120"/>
        <w:contextualSpacing w:val="0"/>
        <w:rPr>
          <w:rFonts w:asciiTheme="minorHAnsi" w:hAnsiTheme="minorHAnsi"/>
          <w:color w:val="auto"/>
          <w:sz w:val="22"/>
          <w:szCs w:val="22"/>
        </w:rPr>
      </w:pPr>
      <w:r>
        <w:rPr>
          <w:rFonts w:asciiTheme="minorHAnsi" w:hAnsiTheme="minorHAnsi"/>
          <w:color w:val="auto"/>
          <w:sz w:val="22"/>
          <w:szCs w:val="22"/>
        </w:rPr>
        <w:t xml:space="preserve">86 per cent of </w:t>
      </w:r>
      <w:r w:rsidR="00E06226">
        <w:rPr>
          <w:rFonts w:asciiTheme="minorHAnsi" w:hAnsiTheme="minorHAnsi"/>
          <w:color w:val="auto"/>
          <w:sz w:val="22"/>
          <w:szCs w:val="22"/>
        </w:rPr>
        <w:t>titleholders</w:t>
      </w:r>
      <w:r w:rsidR="00B570EC" w:rsidRPr="00B570EC">
        <w:rPr>
          <w:rFonts w:asciiTheme="minorHAnsi" w:hAnsiTheme="minorHAnsi"/>
          <w:color w:val="auto"/>
          <w:sz w:val="22"/>
          <w:szCs w:val="22"/>
        </w:rPr>
        <w:t xml:space="preserve"> involved in resource stewardship discussions, including field performance, resource maturation, regional development plans, and benchmarking, </w:t>
      </w:r>
      <w:r>
        <w:rPr>
          <w:rFonts w:asciiTheme="minorHAnsi" w:hAnsiTheme="minorHAnsi"/>
          <w:color w:val="auto"/>
          <w:sz w:val="22"/>
          <w:szCs w:val="22"/>
        </w:rPr>
        <w:t>indicated they</w:t>
      </w:r>
      <w:r w:rsidR="005B5ECB">
        <w:rPr>
          <w:rFonts w:asciiTheme="minorHAnsi" w:hAnsiTheme="minorHAnsi"/>
          <w:color w:val="auto"/>
          <w:sz w:val="22"/>
          <w:szCs w:val="22"/>
        </w:rPr>
        <w:t xml:space="preserve"> </w:t>
      </w:r>
      <w:r w:rsidR="00B570EC" w:rsidRPr="006231D9">
        <w:rPr>
          <w:rFonts w:asciiTheme="minorHAnsi" w:hAnsiTheme="minorHAnsi"/>
          <w:color w:val="auto"/>
          <w:sz w:val="22"/>
          <w:szCs w:val="22"/>
        </w:rPr>
        <w:t xml:space="preserve">were either </w:t>
      </w:r>
      <w:r w:rsidR="003E39A2">
        <w:rPr>
          <w:rFonts w:asciiTheme="minorHAnsi" w:hAnsiTheme="minorHAnsi"/>
          <w:color w:val="auto"/>
          <w:sz w:val="22"/>
          <w:szCs w:val="22"/>
        </w:rPr>
        <w:t>‘</w:t>
      </w:r>
      <w:r w:rsidR="00B570EC" w:rsidRPr="006231D9">
        <w:rPr>
          <w:rFonts w:asciiTheme="minorHAnsi" w:hAnsiTheme="minorHAnsi"/>
          <w:color w:val="auto"/>
          <w:sz w:val="22"/>
          <w:szCs w:val="22"/>
        </w:rPr>
        <w:t>very</w:t>
      </w:r>
      <w:r w:rsidR="003E39A2">
        <w:rPr>
          <w:rFonts w:asciiTheme="minorHAnsi" w:hAnsiTheme="minorHAnsi"/>
          <w:color w:val="auto"/>
          <w:sz w:val="22"/>
          <w:szCs w:val="22"/>
        </w:rPr>
        <w:t>’</w:t>
      </w:r>
      <w:r w:rsidR="00B570EC" w:rsidRPr="006231D9">
        <w:rPr>
          <w:rFonts w:asciiTheme="minorHAnsi" w:hAnsiTheme="minorHAnsi"/>
          <w:color w:val="auto"/>
          <w:sz w:val="22"/>
          <w:szCs w:val="22"/>
        </w:rPr>
        <w:t xml:space="preserve"> or </w:t>
      </w:r>
      <w:r w:rsidR="003E39A2">
        <w:rPr>
          <w:rFonts w:asciiTheme="minorHAnsi" w:hAnsiTheme="minorHAnsi"/>
          <w:color w:val="auto"/>
          <w:sz w:val="22"/>
          <w:szCs w:val="22"/>
        </w:rPr>
        <w:t>‘</w:t>
      </w:r>
      <w:r w:rsidR="00B570EC" w:rsidRPr="006231D9">
        <w:rPr>
          <w:rFonts w:asciiTheme="minorHAnsi" w:hAnsiTheme="minorHAnsi"/>
          <w:color w:val="auto"/>
          <w:sz w:val="22"/>
          <w:szCs w:val="22"/>
        </w:rPr>
        <w:t>somewhat</w:t>
      </w:r>
      <w:r w:rsidR="004E5EE0">
        <w:rPr>
          <w:rFonts w:asciiTheme="minorHAnsi" w:hAnsiTheme="minorHAnsi"/>
          <w:color w:val="auto"/>
          <w:sz w:val="22"/>
          <w:szCs w:val="22"/>
        </w:rPr>
        <w:t>’</w:t>
      </w:r>
      <w:r w:rsidR="00B570EC" w:rsidRPr="006231D9">
        <w:rPr>
          <w:rFonts w:asciiTheme="minorHAnsi" w:hAnsiTheme="minorHAnsi"/>
          <w:color w:val="auto"/>
          <w:sz w:val="22"/>
          <w:szCs w:val="22"/>
        </w:rPr>
        <w:t xml:space="preserve"> satisfied with the overall level of effort required from their company</w:t>
      </w:r>
      <w:r w:rsidR="005B5ECB">
        <w:rPr>
          <w:rFonts w:asciiTheme="minorHAnsi" w:hAnsiTheme="minorHAnsi"/>
          <w:color w:val="auto"/>
          <w:sz w:val="22"/>
          <w:szCs w:val="22"/>
        </w:rPr>
        <w:t xml:space="preserve"> in complying with these processes</w:t>
      </w:r>
      <w:r w:rsidR="00B570EC" w:rsidRPr="006231D9">
        <w:rPr>
          <w:rFonts w:asciiTheme="minorHAnsi" w:hAnsiTheme="minorHAnsi"/>
          <w:color w:val="auto"/>
          <w:sz w:val="22"/>
          <w:szCs w:val="22"/>
        </w:rPr>
        <w:t>.</w:t>
      </w:r>
    </w:p>
    <w:p w14:paraId="380FAE69" w14:textId="77777777" w:rsidR="005921F8" w:rsidRPr="00554685" w:rsidRDefault="005921F8" w:rsidP="005921F8">
      <w:pPr>
        <w:pStyle w:val="ListParagraph"/>
        <w:numPr>
          <w:ilvl w:val="0"/>
          <w:numId w:val="44"/>
        </w:numPr>
        <w:spacing w:before="0" w:after="120"/>
        <w:contextualSpacing w:val="0"/>
        <w:rPr>
          <w:rFonts w:asciiTheme="minorHAnsi" w:hAnsiTheme="minorHAnsi"/>
          <w:color w:val="auto"/>
          <w:sz w:val="22"/>
          <w:szCs w:val="22"/>
        </w:rPr>
      </w:pPr>
      <w:r>
        <w:rPr>
          <w:rFonts w:asciiTheme="minorHAnsi" w:hAnsiTheme="minorHAnsi"/>
          <w:color w:val="auto"/>
          <w:sz w:val="22"/>
          <w:szCs w:val="22"/>
        </w:rPr>
        <w:t xml:space="preserve">NOPTA uses a central </w:t>
      </w:r>
      <w:r w:rsidRPr="0069135F">
        <w:rPr>
          <w:rFonts w:asciiTheme="minorHAnsi" w:hAnsiTheme="minorHAnsi"/>
          <w:color w:val="auto"/>
          <w:sz w:val="22"/>
          <w:szCs w:val="22"/>
        </w:rPr>
        <w:t xml:space="preserve">database </w:t>
      </w:r>
      <w:r>
        <w:rPr>
          <w:rFonts w:asciiTheme="minorHAnsi" w:hAnsiTheme="minorHAnsi"/>
          <w:color w:val="auto"/>
          <w:sz w:val="22"/>
          <w:szCs w:val="22"/>
        </w:rPr>
        <w:t xml:space="preserve">to </w:t>
      </w:r>
      <w:r w:rsidRPr="0069135F">
        <w:rPr>
          <w:rFonts w:asciiTheme="minorHAnsi" w:hAnsiTheme="minorHAnsi"/>
          <w:color w:val="auto"/>
          <w:sz w:val="22"/>
          <w:szCs w:val="22"/>
        </w:rPr>
        <w:t xml:space="preserve">record </w:t>
      </w:r>
      <w:r>
        <w:rPr>
          <w:rFonts w:asciiTheme="minorHAnsi" w:hAnsiTheme="minorHAnsi"/>
          <w:color w:val="auto"/>
          <w:sz w:val="22"/>
          <w:szCs w:val="22"/>
        </w:rPr>
        <w:t>and monitor compliance</w:t>
      </w:r>
      <w:r w:rsidRPr="0069135F">
        <w:rPr>
          <w:rFonts w:asciiTheme="minorHAnsi" w:hAnsiTheme="minorHAnsi"/>
          <w:color w:val="auto"/>
          <w:sz w:val="22"/>
          <w:szCs w:val="22"/>
        </w:rPr>
        <w:t xml:space="preserve"> </w:t>
      </w:r>
      <w:r>
        <w:rPr>
          <w:rFonts w:asciiTheme="minorHAnsi" w:hAnsiTheme="minorHAnsi"/>
          <w:color w:val="auto"/>
          <w:sz w:val="22"/>
          <w:szCs w:val="22"/>
        </w:rPr>
        <w:t>in relation to title</w:t>
      </w:r>
      <w:r w:rsidRPr="0069135F">
        <w:rPr>
          <w:rFonts w:asciiTheme="minorHAnsi" w:hAnsiTheme="minorHAnsi"/>
          <w:color w:val="auto"/>
          <w:sz w:val="22"/>
          <w:szCs w:val="22"/>
        </w:rPr>
        <w:t xml:space="preserve"> </w:t>
      </w:r>
      <w:r>
        <w:rPr>
          <w:rFonts w:asciiTheme="minorHAnsi" w:hAnsiTheme="minorHAnsi"/>
          <w:color w:val="auto"/>
          <w:sz w:val="22"/>
          <w:szCs w:val="22"/>
        </w:rPr>
        <w:t xml:space="preserve">‘special’ </w:t>
      </w:r>
      <w:r w:rsidRPr="0069135F">
        <w:rPr>
          <w:rFonts w:asciiTheme="minorHAnsi" w:hAnsiTheme="minorHAnsi"/>
          <w:color w:val="auto"/>
          <w:sz w:val="22"/>
          <w:szCs w:val="22"/>
        </w:rPr>
        <w:t>conditions</w:t>
      </w:r>
      <w:r>
        <w:rPr>
          <w:rFonts w:asciiTheme="minorHAnsi" w:hAnsiTheme="minorHAnsi"/>
          <w:color w:val="auto"/>
          <w:sz w:val="22"/>
          <w:szCs w:val="22"/>
        </w:rPr>
        <w:t xml:space="preserve"> and Joint Authority expectations placed on a titleholder</w:t>
      </w:r>
      <w:r w:rsidRPr="0069135F">
        <w:rPr>
          <w:rFonts w:asciiTheme="minorHAnsi" w:hAnsiTheme="minorHAnsi"/>
          <w:color w:val="auto"/>
          <w:sz w:val="22"/>
          <w:szCs w:val="22"/>
        </w:rPr>
        <w:t>. This database provides a comprehensive record of progress towards meeting conditions</w:t>
      </w:r>
      <w:r>
        <w:rPr>
          <w:rFonts w:asciiTheme="minorHAnsi" w:hAnsiTheme="minorHAnsi"/>
          <w:color w:val="auto"/>
          <w:sz w:val="22"/>
          <w:szCs w:val="22"/>
        </w:rPr>
        <w:t xml:space="preserve"> and expectations</w:t>
      </w:r>
      <w:r w:rsidRPr="0069135F">
        <w:rPr>
          <w:rFonts w:asciiTheme="minorHAnsi" w:hAnsiTheme="minorHAnsi"/>
          <w:color w:val="auto"/>
          <w:sz w:val="22"/>
          <w:szCs w:val="22"/>
        </w:rPr>
        <w:t xml:space="preserve">, allowing NOPTA to track progress over </w:t>
      </w:r>
      <w:r>
        <w:rPr>
          <w:rFonts w:asciiTheme="minorHAnsi" w:hAnsiTheme="minorHAnsi"/>
          <w:color w:val="auto"/>
          <w:sz w:val="22"/>
          <w:szCs w:val="22"/>
        </w:rPr>
        <w:t>long</w:t>
      </w:r>
      <w:r w:rsidRPr="0069135F">
        <w:rPr>
          <w:rFonts w:asciiTheme="minorHAnsi" w:hAnsiTheme="minorHAnsi"/>
          <w:color w:val="auto"/>
          <w:sz w:val="22"/>
          <w:szCs w:val="22"/>
        </w:rPr>
        <w:t xml:space="preserve"> time</w:t>
      </w:r>
      <w:r>
        <w:rPr>
          <w:rFonts w:asciiTheme="minorHAnsi" w:hAnsiTheme="minorHAnsi"/>
          <w:color w:val="auto"/>
          <w:sz w:val="22"/>
          <w:szCs w:val="22"/>
        </w:rPr>
        <w:t>frames</w:t>
      </w:r>
      <w:r w:rsidRPr="0069135F">
        <w:rPr>
          <w:rFonts w:asciiTheme="minorHAnsi" w:hAnsiTheme="minorHAnsi"/>
          <w:color w:val="auto"/>
          <w:sz w:val="22"/>
          <w:szCs w:val="22"/>
        </w:rPr>
        <w:t>.</w:t>
      </w:r>
      <w:r>
        <w:rPr>
          <w:rFonts w:asciiTheme="minorHAnsi" w:hAnsiTheme="minorHAnsi"/>
          <w:color w:val="auto"/>
          <w:sz w:val="22"/>
          <w:szCs w:val="22"/>
        </w:rPr>
        <w:t xml:space="preserve"> </w:t>
      </w:r>
      <w:r w:rsidRPr="00554685">
        <w:rPr>
          <w:rFonts w:asciiTheme="minorHAnsi" w:hAnsiTheme="minorHAnsi"/>
          <w:color w:val="auto"/>
          <w:sz w:val="22"/>
          <w:szCs w:val="22"/>
        </w:rPr>
        <w:t xml:space="preserve">It </w:t>
      </w:r>
      <w:r>
        <w:rPr>
          <w:rFonts w:asciiTheme="minorHAnsi" w:hAnsiTheme="minorHAnsi"/>
          <w:color w:val="auto"/>
          <w:sz w:val="22"/>
          <w:szCs w:val="22"/>
        </w:rPr>
        <w:t>also aids in</w:t>
      </w:r>
      <w:r w:rsidRPr="00554685">
        <w:rPr>
          <w:rFonts w:asciiTheme="minorHAnsi" w:hAnsiTheme="minorHAnsi"/>
          <w:color w:val="auto"/>
          <w:sz w:val="22"/>
          <w:szCs w:val="22"/>
        </w:rPr>
        <w:t xml:space="preserve"> technical discussions with titleholders and provide</w:t>
      </w:r>
      <w:r>
        <w:rPr>
          <w:rFonts w:asciiTheme="minorHAnsi" w:hAnsiTheme="minorHAnsi"/>
          <w:color w:val="auto"/>
          <w:sz w:val="22"/>
          <w:szCs w:val="22"/>
        </w:rPr>
        <w:t>s</w:t>
      </w:r>
      <w:r w:rsidRPr="00554685">
        <w:rPr>
          <w:rFonts w:asciiTheme="minorHAnsi" w:hAnsiTheme="minorHAnsi"/>
          <w:color w:val="auto"/>
          <w:sz w:val="22"/>
          <w:szCs w:val="22"/>
        </w:rPr>
        <w:t xml:space="preserve"> important information on the compliance behaviour of </w:t>
      </w:r>
      <w:r>
        <w:rPr>
          <w:rFonts w:asciiTheme="minorHAnsi" w:hAnsiTheme="minorHAnsi"/>
          <w:color w:val="auto"/>
          <w:sz w:val="22"/>
          <w:szCs w:val="22"/>
        </w:rPr>
        <w:t>titleholders</w:t>
      </w:r>
      <w:r w:rsidRPr="00554685">
        <w:rPr>
          <w:rFonts w:asciiTheme="minorHAnsi" w:hAnsiTheme="minorHAnsi"/>
          <w:color w:val="auto"/>
          <w:sz w:val="22"/>
          <w:szCs w:val="22"/>
        </w:rPr>
        <w:t xml:space="preserve">.  </w:t>
      </w:r>
    </w:p>
    <w:p w14:paraId="71A077A0" w14:textId="3013B101" w:rsidR="00DB3949" w:rsidRDefault="00DB3949" w:rsidP="00C3530A">
      <w:pPr>
        <w:pStyle w:val="Bullet"/>
        <w:numPr>
          <w:ilvl w:val="0"/>
          <w:numId w:val="44"/>
        </w:numPr>
        <w:rPr>
          <w:sz w:val="22"/>
          <w:szCs w:val="22"/>
        </w:rPr>
      </w:pPr>
      <w:r w:rsidRPr="00E721C8">
        <w:rPr>
          <w:sz w:val="22"/>
          <w:szCs w:val="22"/>
        </w:rPr>
        <w:t xml:space="preserve">In 2019, NOPTA completed the first stage of an </w:t>
      </w:r>
      <w:r w:rsidRPr="00E721C8">
        <w:rPr>
          <w:sz w:val="22"/>
          <w:szCs w:val="22"/>
          <w:lang w:eastAsia="en-AU"/>
        </w:rPr>
        <w:t>internal upgrade of NEATS to improve applicat</w:t>
      </w:r>
      <w:r w:rsidRPr="00B367C3">
        <w:rPr>
          <w:sz w:val="22"/>
          <w:szCs w:val="22"/>
          <w:lang w:eastAsia="en-AU"/>
        </w:rPr>
        <w:t xml:space="preserve">ion processing efficiencies. NOPTA will </w:t>
      </w:r>
      <w:r w:rsidR="00AB0D34">
        <w:rPr>
          <w:sz w:val="22"/>
          <w:szCs w:val="22"/>
          <w:lang w:eastAsia="en-AU"/>
        </w:rPr>
        <w:t xml:space="preserve">now </w:t>
      </w:r>
      <w:r w:rsidRPr="00B367C3">
        <w:rPr>
          <w:sz w:val="22"/>
          <w:szCs w:val="22"/>
          <w:lang w:eastAsia="en-AU"/>
        </w:rPr>
        <w:t>focus on</w:t>
      </w:r>
      <w:r w:rsidR="00001E57">
        <w:rPr>
          <w:sz w:val="22"/>
          <w:szCs w:val="22"/>
          <w:lang w:eastAsia="en-AU"/>
        </w:rPr>
        <w:t xml:space="preserve"> upgrades to the NEATS industry </w:t>
      </w:r>
      <w:r w:rsidRPr="00001E57">
        <w:rPr>
          <w:sz w:val="22"/>
          <w:szCs w:val="22"/>
          <w:lang w:eastAsia="en-AU"/>
        </w:rPr>
        <w:t xml:space="preserve">portal </w:t>
      </w:r>
      <w:r w:rsidR="001936CE" w:rsidRPr="00001E57">
        <w:rPr>
          <w:sz w:val="22"/>
          <w:szCs w:val="22"/>
          <w:lang w:eastAsia="en-AU"/>
        </w:rPr>
        <w:t xml:space="preserve">to </w:t>
      </w:r>
      <w:r w:rsidR="001936CE" w:rsidRPr="00001E57">
        <w:rPr>
          <w:sz w:val="22"/>
          <w:szCs w:val="22"/>
        </w:rPr>
        <w:t>improve</w:t>
      </w:r>
      <w:r w:rsidR="006E25A7">
        <w:rPr>
          <w:sz w:val="22"/>
          <w:szCs w:val="22"/>
        </w:rPr>
        <w:t xml:space="preserve"> and </w:t>
      </w:r>
      <w:r w:rsidR="006E25A7" w:rsidRPr="00001E57">
        <w:rPr>
          <w:sz w:val="22"/>
          <w:szCs w:val="22"/>
        </w:rPr>
        <w:t>streamline</w:t>
      </w:r>
      <w:r w:rsidRPr="00001E57">
        <w:rPr>
          <w:sz w:val="22"/>
          <w:szCs w:val="22"/>
        </w:rPr>
        <w:t xml:space="preserve"> </w:t>
      </w:r>
      <w:r w:rsidR="006E25A7">
        <w:rPr>
          <w:sz w:val="22"/>
          <w:szCs w:val="22"/>
        </w:rPr>
        <w:t xml:space="preserve">application and </w:t>
      </w:r>
      <w:r w:rsidRPr="00001E57">
        <w:rPr>
          <w:sz w:val="22"/>
          <w:szCs w:val="22"/>
        </w:rPr>
        <w:t xml:space="preserve">data </w:t>
      </w:r>
      <w:r w:rsidRPr="00001E57">
        <w:rPr>
          <w:sz w:val="22"/>
          <w:szCs w:val="22"/>
          <w:lang w:eastAsia="en-AU"/>
        </w:rPr>
        <w:t>submission</w:t>
      </w:r>
      <w:r w:rsidR="006E25A7">
        <w:rPr>
          <w:sz w:val="22"/>
          <w:szCs w:val="22"/>
          <w:lang w:eastAsia="en-AU"/>
        </w:rPr>
        <w:t>s</w:t>
      </w:r>
      <w:r w:rsidRPr="00001E57">
        <w:rPr>
          <w:sz w:val="22"/>
          <w:szCs w:val="22"/>
          <w:lang w:eastAsia="en-AU"/>
        </w:rPr>
        <w:t>.</w:t>
      </w:r>
      <w:r w:rsidR="001C6EB8">
        <w:rPr>
          <w:sz w:val="22"/>
          <w:szCs w:val="22"/>
          <w:lang w:eastAsia="en-AU"/>
        </w:rPr>
        <w:t xml:space="preserve"> This is consistent with areas of improvement highlighted by respondents to the recent survey. </w:t>
      </w:r>
    </w:p>
    <w:p w14:paraId="49482149" w14:textId="37C18AA0" w:rsidR="00DC28D1" w:rsidRPr="00DC28D1" w:rsidRDefault="004F4A23" w:rsidP="00C3530A">
      <w:pPr>
        <w:pStyle w:val="ListParagraph"/>
        <w:numPr>
          <w:ilvl w:val="0"/>
          <w:numId w:val="44"/>
        </w:numPr>
        <w:spacing w:before="0" w:after="0"/>
        <w:ind w:left="357" w:hanging="357"/>
        <w:contextualSpacing w:val="0"/>
        <w:rPr>
          <w:rFonts w:asciiTheme="minorHAnsi" w:hAnsiTheme="minorHAnsi"/>
          <w:color w:val="auto"/>
          <w:sz w:val="22"/>
          <w:szCs w:val="22"/>
        </w:rPr>
      </w:pPr>
      <w:r>
        <w:rPr>
          <w:rFonts w:asciiTheme="minorHAnsi" w:hAnsiTheme="minorHAnsi"/>
          <w:color w:val="auto"/>
          <w:sz w:val="22"/>
          <w:szCs w:val="22"/>
        </w:rPr>
        <w:t xml:space="preserve">During 2018-19 </w:t>
      </w:r>
      <w:r w:rsidR="00DC28D1" w:rsidRPr="00DC28D1">
        <w:rPr>
          <w:rFonts w:asciiTheme="minorHAnsi" w:hAnsiTheme="minorHAnsi"/>
          <w:color w:val="auto"/>
          <w:sz w:val="22"/>
          <w:szCs w:val="22"/>
        </w:rPr>
        <w:t xml:space="preserve">NOPTA continued to enhance how compliance and monitoring issues are managed internally to ensure a more coordinated, streamlined and robust decision and advice process. </w:t>
      </w:r>
      <w:r w:rsidR="00ED6695">
        <w:rPr>
          <w:rFonts w:asciiTheme="minorHAnsi" w:hAnsiTheme="minorHAnsi"/>
          <w:color w:val="auto"/>
          <w:sz w:val="22"/>
          <w:szCs w:val="22"/>
        </w:rPr>
        <w:t>In addition to the NEATS i</w:t>
      </w:r>
      <w:r w:rsidR="00DC28D1" w:rsidRPr="00DC28D1">
        <w:rPr>
          <w:rFonts w:asciiTheme="minorHAnsi" w:hAnsiTheme="minorHAnsi"/>
          <w:color w:val="auto"/>
          <w:sz w:val="22"/>
          <w:szCs w:val="22"/>
        </w:rPr>
        <w:t>nitiatives</w:t>
      </w:r>
      <w:r w:rsidR="003E39A2">
        <w:rPr>
          <w:rFonts w:asciiTheme="minorHAnsi" w:hAnsiTheme="minorHAnsi"/>
          <w:color w:val="auto"/>
          <w:sz w:val="22"/>
          <w:szCs w:val="22"/>
        </w:rPr>
        <w:t>,</w:t>
      </w:r>
      <w:r w:rsidR="00DC28D1" w:rsidRPr="00DC28D1">
        <w:rPr>
          <w:rFonts w:asciiTheme="minorHAnsi" w:hAnsiTheme="minorHAnsi"/>
          <w:color w:val="auto"/>
          <w:sz w:val="22"/>
          <w:szCs w:val="22"/>
        </w:rPr>
        <w:t xml:space="preserve"> area</w:t>
      </w:r>
      <w:r w:rsidR="003E39A2">
        <w:rPr>
          <w:rFonts w:asciiTheme="minorHAnsi" w:hAnsiTheme="minorHAnsi"/>
          <w:color w:val="auto"/>
          <w:sz w:val="22"/>
          <w:szCs w:val="22"/>
        </w:rPr>
        <w:t>s of focus</w:t>
      </w:r>
      <w:r w:rsidR="00DC28D1" w:rsidRPr="00DC28D1">
        <w:rPr>
          <w:rFonts w:asciiTheme="minorHAnsi" w:hAnsiTheme="minorHAnsi"/>
          <w:color w:val="auto"/>
          <w:sz w:val="22"/>
          <w:szCs w:val="22"/>
        </w:rPr>
        <w:t xml:space="preserve"> have included:</w:t>
      </w:r>
    </w:p>
    <w:p w14:paraId="6F31BCB7" w14:textId="28919DF6" w:rsidR="00DC28D1" w:rsidRPr="00DC28D1" w:rsidRDefault="00113E4A" w:rsidP="00C3530A">
      <w:pPr>
        <w:pStyle w:val="ListParagraph"/>
        <w:numPr>
          <w:ilvl w:val="1"/>
          <w:numId w:val="47"/>
        </w:numPr>
        <w:spacing w:before="0" w:after="120"/>
        <w:ind w:left="1134" w:hanging="425"/>
        <w:contextualSpacing w:val="0"/>
        <w:rPr>
          <w:rFonts w:asciiTheme="minorHAnsi" w:hAnsiTheme="minorHAnsi"/>
          <w:color w:val="auto"/>
          <w:sz w:val="22"/>
          <w:szCs w:val="22"/>
        </w:rPr>
      </w:pPr>
      <w:r>
        <w:rPr>
          <w:rFonts w:asciiTheme="minorHAnsi" w:hAnsiTheme="minorHAnsi"/>
          <w:color w:val="auto"/>
          <w:sz w:val="22"/>
          <w:szCs w:val="22"/>
        </w:rPr>
        <w:t>i</w:t>
      </w:r>
      <w:r w:rsidR="00DC28D1" w:rsidRPr="00D3412A">
        <w:rPr>
          <w:rFonts w:asciiTheme="minorHAnsi" w:hAnsiTheme="minorHAnsi"/>
          <w:color w:val="auto"/>
          <w:sz w:val="22"/>
          <w:szCs w:val="22"/>
        </w:rPr>
        <w:t xml:space="preserve">mproved integration of NOPTA’s internal databases and systems that are used to collect, aggregate, analyse and report data </w:t>
      </w:r>
      <w:r w:rsidR="00DC28D1" w:rsidRPr="00DC28D1">
        <w:rPr>
          <w:rFonts w:asciiTheme="minorHAnsi" w:hAnsiTheme="minorHAnsi"/>
          <w:color w:val="auto"/>
          <w:sz w:val="22"/>
          <w:szCs w:val="22"/>
        </w:rPr>
        <w:t>relating to petroleum production matters</w:t>
      </w:r>
    </w:p>
    <w:p w14:paraId="6221B875" w14:textId="517E6853" w:rsidR="00DC28D1" w:rsidRPr="00DC28D1" w:rsidRDefault="00113E4A" w:rsidP="00C3530A">
      <w:pPr>
        <w:pStyle w:val="ListParagraph"/>
        <w:numPr>
          <w:ilvl w:val="1"/>
          <w:numId w:val="47"/>
        </w:numPr>
        <w:spacing w:before="0" w:after="120"/>
        <w:ind w:left="1134" w:hanging="425"/>
        <w:contextualSpacing w:val="0"/>
        <w:rPr>
          <w:rFonts w:asciiTheme="minorHAnsi" w:hAnsiTheme="minorHAnsi"/>
          <w:color w:val="auto"/>
          <w:sz w:val="22"/>
          <w:szCs w:val="22"/>
        </w:rPr>
      </w:pPr>
      <w:r>
        <w:rPr>
          <w:rFonts w:asciiTheme="minorHAnsi" w:hAnsiTheme="minorHAnsi"/>
          <w:color w:val="auto"/>
          <w:sz w:val="22"/>
          <w:szCs w:val="22"/>
        </w:rPr>
        <w:lastRenderedPageBreak/>
        <w:t>c</w:t>
      </w:r>
      <w:r w:rsidR="00DC28D1" w:rsidRPr="00D3412A">
        <w:rPr>
          <w:rFonts w:asciiTheme="minorHAnsi" w:hAnsiTheme="minorHAnsi"/>
          <w:color w:val="auto"/>
          <w:sz w:val="22"/>
          <w:szCs w:val="22"/>
        </w:rPr>
        <w:t>ontinued to develop NOPIMS by incorporating additional documentary information and improving</w:t>
      </w:r>
      <w:r w:rsidR="009574E1">
        <w:rPr>
          <w:rFonts w:asciiTheme="minorHAnsi" w:hAnsiTheme="minorHAnsi"/>
          <w:color w:val="auto"/>
          <w:sz w:val="22"/>
          <w:szCs w:val="22"/>
        </w:rPr>
        <w:t xml:space="preserve"> i</w:t>
      </w:r>
      <w:r w:rsidR="009574E1" w:rsidRPr="009574E1">
        <w:rPr>
          <w:rFonts w:asciiTheme="minorHAnsi" w:hAnsiTheme="minorHAnsi"/>
          <w:color w:val="auto"/>
          <w:sz w:val="22"/>
          <w:szCs w:val="22"/>
        </w:rPr>
        <w:t>nternal data management processes</w:t>
      </w:r>
      <w:r w:rsidR="00DC28D1" w:rsidRPr="00D3412A">
        <w:rPr>
          <w:rFonts w:asciiTheme="minorHAnsi" w:hAnsiTheme="minorHAnsi"/>
          <w:color w:val="auto"/>
          <w:sz w:val="22"/>
          <w:szCs w:val="22"/>
        </w:rPr>
        <w:t xml:space="preserve"> functions to aid data discovery in </w:t>
      </w:r>
      <w:r w:rsidR="00DC28D1" w:rsidRPr="00DC28D1">
        <w:rPr>
          <w:rFonts w:asciiTheme="minorHAnsi" w:hAnsiTheme="minorHAnsi"/>
          <w:color w:val="auto"/>
          <w:sz w:val="22"/>
          <w:szCs w:val="22"/>
        </w:rPr>
        <w:t>collaboration with Geoscience Australia</w:t>
      </w:r>
      <w:r>
        <w:rPr>
          <w:rFonts w:asciiTheme="minorHAnsi" w:hAnsiTheme="minorHAnsi"/>
          <w:color w:val="auto"/>
          <w:sz w:val="22"/>
          <w:szCs w:val="22"/>
        </w:rPr>
        <w:t>, and</w:t>
      </w:r>
      <w:r w:rsidR="00DC28D1" w:rsidRPr="00DC28D1">
        <w:rPr>
          <w:rFonts w:asciiTheme="minorHAnsi" w:hAnsiTheme="minorHAnsi"/>
          <w:color w:val="auto"/>
          <w:sz w:val="22"/>
          <w:szCs w:val="22"/>
        </w:rPr>
        <w:t xml:space="preserve"> </w:t>
      </w:r>
    </w:p>
    <w:p w14:paraId="42AE43A2" w14:textId="4CF0D92C" w:rsidR="00DC28D1" w:rsidRDefault="00113E4A" w:rsidP="00C3530A">
      <w:pPr>
        <w:pStyle w:val="ListParagraph"/>
        <w:numPr>
          <w:ilvl w:val="1"/>
          <w:numId w:val="47"/>
        </w:numPr>
        <w:spacing w:before="0" w:after="0"/>
        <w:ind w:left="1134" w:hanging="425"/>
        <w:contextualSpacing w:val="0"/>
        <w:rPr>
          <w:rFonts w:asciiTheme="minorHAnsi" w:hAnsiTheme="minorHAnsi"/>
          <w:color w:val="auto"/>
          <w:sz w:val="22"/>
          <w:szCs w:val="22"/>
        </w:rPr>
      </w:pPr>
      <w:r>
        <w:rPr>
          <w:rFonts w:asciiTheme="minorHAnsi" w:hAnsiTheme="minorHAnsi"/>
          <w:color w:val="auto"/>
          <w:sz w:val="22"/>
          <w:szCs w:val="22"/>
        </w:rPr>
        <w:t>c</w:t>
      </w:r>
      <w:r w:rsidR="00DC28D1" w:rsidRPr="00D3412A">
        <w:rPr>
          <w:rFonts w:asciiTheme="minorHAnsi" w:hAnsiTheme="minorHAnsi"/>
          <w:color w:val="auto"/>
          <w:sz w:val="22"/>
          <w:szCs w:val="22"/>
        </w:rPr>
        <w:t>ontinued</w:t>
      </w:r>
      <w:r>
        <w:rPr>
          <w:rFonts w:asciiTheme="minorHAnsi" w:hAnsiTheme="minorHAnsi"/>
          <w:color w:val="auto"/>
          <w:sz w:val="22"/>
          <w:szCs w:val="22"/>
        </w:rPr>
        <w:t xml:space="preserve"> coordinated</w:t>
      </w:r>
      <w:r w:rsidR="00DC28D1" w:rsidRPr="00D3412A">
        <w:rPr>
          <w:rFonts w:asciiTheme="minorHAnsi" w:hAnsiTheme="minorHAnsi"/>
          <w:color w:val="auto"/>
          <w:sz w:val="22"/>
          <w:szCs w:val="22"/>
        </w:rPr>
        <w:t xml:space="preserve"> engage</w:t>
      </w:r>
      <w:r>
        <w:rPr>
          <w:rFonts w:asciiTheme="minorHAnsi" w:hAnsiTheme="minorHAnsi"/>
          <w:color w:val="auto"/>
          <w:sz w:val="22"/>
          <w:szCs w:val="22"/>
        </w:rPr>
        <w:t>ment</w:t>
      </w:r>
      <w:r w:rsidR="00DC28D1" w:rsidRPr="00D3412A">
        <w:rPr>
          <w:rFonts w:asciiTheme="minorHAnsi" w:hAnsiTheme="minorHAnsi"/>
          <w:color w:val="auto"/>
          <w:sz w:val="22"/>
          <w:szCs w:val="22"/>
        </w:rPr>
        <w:t xml:space="preserve"> with </w:t>
      </w:r>
      <w:r w:rsidR="00E06226">
        <w:rPr>
          <w:rFonts w:asciiTheme="minorHAnsi" w:hAnsiTheme="minorHAnsi"/>
          <w:color w:val="auto"/>
          <w:sz w:val="22"/>
          <w:szCs w:val="22"/>
        </w:rPr>
        <w:t>titleholders</w:t>
      </w:r>
      <w:r w:rsidR="00DC28D1" w:rsidRPr="00D3412A">
        <w:rPr>
          <w:rFonts w:asciiTheme="minorHAnsi" w:hAnsiTheme="minorHAnsi"/>
          <w:color w:val="auto"/>
          <w:sz w:val="22"/>
          <w:szCs w:val="22"/>
        </w:rPr>
        <w:t xml:space="preserve"> regarding a re-evaluation of commercial viability of 10 Retention Lease in offshore Western Australia and </w:t>
      </w:r>
      <w:r w:rsidR="004F4DDB">
        <w:rPr>
          <w:rFonts w:asciiTheme="minorHAnsi" w:hAnsiTheme="minorHAnsi"/>
          <w:color w:val="auto"/>
          <w:sz w:val="22"/>
          <w:szCs w:val="22"/>
        </w:rPr>
        <w:t xml:space="preserve">commenced </w:t>
      </w:r>
      <w:r w:rsidR="00DC28D1" w:rsidRPr="00D3412A">
        <w:rPr>
          <w:rFonts w:asciiTheme="minorHAnsi" w:hAnsiTheme="minorHAnsi"/>
          <w:color w:val="auto"/>
          <w:sz w:val="22"/>
          <w:szCs w:val="22"/>
        </w:rPr>
        <w:t>a re-evaluation of commercial viability of eight retention leases in offshore Victoria and Tasmania</w:t>
      </w:r>
      <w:r w:rsidR="003447B6">
        <w:rPr>
          <w:rFonts w:asciiTheme="minorHAnsi" w:hAnsiTheme="minorHAnsi"/>
          <w:color w:val="auto"/>
          <w:sz w:val="22"/>
          <w:szCs w:val="22"/>
        </w:rPr>
        <w:t>.</w:t>
      </w:r>
      <w:r w:rsidR="00DC28D1" w:rsidRPr="00D3412A">
        <w:rPr>
          <w:rFonts w:asciiTheme="minorHAnsi" w:hAnsiTheme="minorHAnsi"/>
          <w:color w:val="auto"/>
          <w:sz w:val="22"/>
          <w:szCs w:val="22"/>
        </w:rPr>
        <w:t xml:space="preserve"> </w:t>
      </w:r>
    </w:p>
    <w:p w14:paraId="3986BC66" w14:textId="761BF9F9" w:rsidR="006352F3" w:rsidRDefault="006352F3" w:rsidP="00C3530A">
      <w:pPr>
        <w:spacing w:after="0" w:line="240" w:lineRule="auto"/>
      </w:pPr>
    </w:p>
    <w:p w14:paraId="2A51AB49" w14:textId="1A24E3AB" w:rsidR="006352F3" w:rsidRDefault="006352F3" w:rsidP="00C3530A">
      <w:pPr>
        <w:pBdr>
          <w:bottom w:val="single" w:sz="6" w:space="1" w:color="auto"/>
        </w:pBdr>
        <w:spacing w:after="0" w:line="240" w:lineRule="auto"/>
      </w:pPr>
    </w:p>
    <w:p w14:paraId="60BC99C6" w14:textId="77777777" w:rsidR="006352F3" w:rsidRPr="006352F3" w:rsidRDefault="006352F3" w:rsidP="00C3530A">
      <w:pPr>
        <w:spacing w:after="0" w:line="240" w:lineRule="auto"/>
      </w:pPr>
    </w:p>
    <w:p w14:paraId="7BB7705F" w14:textId="3C119D6C" w:rsidR="00451963" w:rsidRDefault="00451963" w:rsidP="00C3530A">
      <w:pPr>
        <w:spacing w:after="0" w:line="240" w:lineRule="auto"/>
      </w:pPr>
    </w:p>
    <w:p w14:paraId="60749F97" w14:textId="5207B718" w:rsidR="00772396" w:rsidRPr="006352F3" w:rsidRDefault="006F6665" w:rsidP="00C3530A">
      <w:pPr>
        <w:pStyle w:val="Heading2"/>
        <w:jc w:val="left"/>
        <w:rPr>
          <w:color w:val="1F4E79" w:themeColor="accent1" w:themeShade="80"/>
        </w:rPr>
      </w:pPr>
      <w:bookmarkStart w:id="48" w:name="_Toc20813191"/>
      <w:r w:rsidRPr="006352F3">
        <w:rPr>
          <w:color w:val="1F4E79" w:themeColor="accent1" w:themeShade="80"/>
        </w:rPr>
        <w:t>KPI 5: Regulators are open and transparent in their dealings with regulated entities</w:t>
      </w:r>
      <w:bookmarkStart w:id="49" w:name="_Toc497215485"/>
      <w:bookmarkEnd w:id="47"/>
      <w:bookmarkEnd w:id="48"/>
    </w:p>
    <w:p w14:paraId="751B440F" w14:textId="77777777" w:rsidR="006F6665" w:rsidRPr="006352F3" w:rsidRDefault="006F6665" w:rsidP="00C3530A">
      <w:pPr>
        <w:pStyle w:val="Heading3"/>
        <w:jc w:val="left"/>
        <w:rPr>
          <w:color w:val="1F4E79" w:themeColor="accent1" w:themeShade="80"/>
        </w:rPr>
      </w:pPr>
      <w:bookmarkStart w:id="50" w:name="_Toc20813192"/>
      <w:r w:rsidRPr="006352F3">
        <w:rPr>
          <w:color w:val="1F4E79" w:themeColor="accent1" w:themeShade="80"/>
        </w:rPr>
        <w:t>KPI Expectations</w:t>
      </w:r>
      <w:bookmarkEnd w:id="49"/>
      <w:bookmarkEnd w:id="50"/>
    </w:p>
    <w:p w14:paraId="03F3906B" w14:textId="7CF4093A" w:rsidR="00772396" w:rsidRDefault="006F6665" w:rsidP="00C3530A">
      <w:pPr>
        <w:spacing w:after="0" w:line="240" w:lineRule="auto"/>
      </w:pPr>
      <w:r w:rsidRPr="00772396">
        <w:t>Where possible, regulators clearly communicate the evidence base and approach used in decision-making processes. Transparency provides the regulated entity and broader community with greater confidence and understanding of the regulator’s role.</w:t>
      </w:r>
      <w:bookmarkStart w:id="51" w:name="_Toc497215486"/>
    </w:p>
    <w:p w14:paraId="31F8012F" w14:textId="77777777" w:rsidR="006F6665" w:rsidRPr="006352F3" w:rsidRDefault="006F6665" w:rsidP="00C3530A">
      <w:pPr>
        <w:pStyle w:val="Heading3"/>
        <w:jc w:val="left"/>
        <w:rPr>
          <w:color w:val="1F4E79" w:themeColor="accent1" w:themeShade="80"/>
        </w:rPr>
      </w:pPr>
      <w:bookmarkStart w:id="52" w:name="_Toc20813193"/>
      <w:r w:rsidRPr="006352F3">
        <w:rPr>
          <w:color w:val="1F4E79" w:themeColor="accent1" w:themeShade="80"/>
        </w:rPr>
        <w:t>NOPTA’s Approach</w:t>
      </w:r>
      <w:bookmarkEnd w:id="51"/>
      <w:bookmarkEnd w:id="52"/>
      <w:r w:rsidRPr="006352F3">
        <w:rPr>
          <w:color w:val="1F4E79" w:themeColor="accent1" w:themeShade="80"/>
        </w:rPr>
        <w:t xml:space="preserve"> </w:t>
      </w:r>
    </w:p>
    <w:p w14:paraId="12523747" w14:textId="4E869CA3" w:rsidR="00B37EF5" w:rsidRPr="00B37EF5" w:rsidRDefault="00B17DDC" w:rsidP="00C3530A">
      <w:pPr>
        <w:spacing w:line="240" w:lineRule="auto"/>
      </w:pPr>
      <w:bookmarkStart w:id="53" w:name="_Toc497215487"/>
      <w:r>
        <w:t xml:space="preserve">NOPTA </w:t>
      </w:r>
      <w:r w:rsidR="00B37EF5" w:rsidRPr="00B37EF5">
        <w:t>exercise</w:t>
      </w:r>
      <w:r>
        <w:t>s its</w:t>
      </w:r>
      <w:r w:rsidR="00B37EF5" w:rsidRPr="00B37EF5">
        <w:t xml:space="preserve"> functions and powers under the OPGGS Act,</w:t>
      </w:r>
      <w:r w:rsidR="00B37EF5">
        <w:t xml:space="preserve"> </w:t>
      </w:r>
      <w:r w:rsidR="00B37EF5" w:rsidRPr="00B37EF5">
        <w:t xml:space="preserve">associated regulations and other applicable laws in good faith and to the best of </w:t>
      </w:r>
      <w:r>
        <w:t>its</w:t>
      </w:r>
      <w:r w:rsidRPr="00B37EF5">
        <w:t xml:space="preserve"> </w:t>
      </w:r>
      <w:r w:rsidR="00B37EF5" w:rsidRPr="00B37EF5">
        <w:t>ability</w:t>
      </w:r>
      <w:r w:rsidR="006F66AA">
        <w:t xml:space="preserve">. </w:t>
      </w:r>
      <w:r>
        <w:t>It is</w:t>
      </w:r>
      <w:r w:rsidR="00B37EF5" w:rsidRPr="00B37EF5">
        <w:t xml:space="preserve"> responsive, consultative, accountable and transparent.</w:t>
      </w:r>
      <w:r w:rsidR="00B37EF5">
        <w:t xml:space="preserve"> </w:t>
      </w:r>
      <w:r>
        <w:t xml:space="preserve">NOPTA </w:t>
      </w:r>
      <w:r w:rsidR="00B37EF5" w:rsidRPr="008F7CE0">
        <w:t>make</w:t>
      </w:r>
      <w:r>
        <w:t>s</w:t>
      </w:r>
      <w:r w:rsidR="00B37EF5" w:rsidRPr="008F7CE0">
        <w:t xml:space="preserve"> decisions and recommendations based on the </w:t>
      </w:r>
      <w:r w:rsidR="00D0538E">
        <w:t xml:space="preserve">merits of the </w:t>
      </w:r>
      <w:r w:rsidR="00180D2A">
        <w:t>information</w:t>
      </w:r>
      <w:r w:rsidR="00B37EF5" w:rsidRPr="008F7CE0">
        <w:t xml:space="preserve"> with which it is presented.</w:t>
      </w:r>
    </w:p>
    <w:p w14:paraId="771F520A" w14:textId="77777777" w:rsidR="006F6665" w:rsidRPr="00B138B1" w:rsidRDefault="006F6665" w:rsidP="00C3530A">
      <w:pPr>
        <w:spacing w:line="240" w:lineRule="auto"/>
        <w:rPr>
          <w:b/>
        </w:rPr>
      </w:pPr>
      <w:r w:rsidRPr="00B138B1">
        <w:rPr>
          <w:b/>
        </w:rPr>
        <w:t>Results</w:t>
      </w:r>
      <w:bookmarkEnd w:id="53"/>
      <w:r w:rsidR="002C3F5D" w:rsidRPr="00B138B1">
        <w:rPr>
          <w:b/>
        </w:rPr>
        <w:t xml:space="preserve">: </w:t>
      </w:r>
      <w:r w:rsidR="002C3F5D" w:rsidRPr="00B138B1">
        <w:rPr>
          <w:b/>
        </w:rPr>
        <w:tab/>
      </w:r>
      <w:r w:rsidR="002C3F5D" w:rsidRPr="00B138B1">
        <w:rPr>
          <w:b/>
        </w:rPr>
        <w:fldChar w:fldCharType="begin">
          <w:ffData>
            <w:name w:val="Check1"/>
            <w:enabled/>
            <w:calcOnExit w:val="0"/>
            <w:checkBox>
              <w:sizeAuto/>
              <w:default w:val="1"/>
            </w:checkBox>
          </w:ffData>
        </w:fldChar>
      </w:r>
      <w:r w:rsidR="002C3F5D" w:rsidRPr="00B138B1">
        <w:rPr>
          <w:b/>
        </w:rPr>
        <w:instrText xml:space="preserve"> FORMCHECKBOX </w:instrText>
      </w:r>
      <w:r w:rsidR="0084660B">
        <w:rPr>
          <w:b/>
        </w:rPr>
      </w:r>
      <w:r w:rsidR="0084660B">
        <w:rPr>
          <w:b/>
        </w:rPr>
        <w:fldChar w:fldCharType="separate"/>
      </w:r>
      <w:r w:rsidR="002C3F5D" w:rsidRPr="00B138B1">
        <w:rPr>
          <w:b/>
        </w:rPr>
        <w:fldChar w:fldCharType="end"/>
      </w:r>
      <w:r w:rsidR="002C3F5D" w:rsidRPr="00B138B1">
        <w:rPr>
          <w:b/>
        </w:rPr>
        <w:t xml:space="preserve"> Met</w:t>
      </w:r>
      <w:r w:rsidR="002C3F5D" w:rsidRPr="00B138B1">
        <w:rPr>
          <w:b/>
        </w:rPr>
        <w:tab/>
      </w:r>
      <w:r w:rsidR="002C3F5D" w:rsidRPr="00B138B1">
        <w:rPr>
          <w:b/>
        </w:rPr>
        <w:tab/>
      </w:r>
      <w:r w:rsidR="002C3F5D" w:rsidRPr="00B138B1">
        <w:rPr>
          <w:b/>
        </w:rPr>
        <w:fldChar w:fldCharType="begin">
          <w:ffData>
            <w:name w:val="Check2"/>
            <w:enabled/>
            <w:calcOnExit w:val="0"/>
            <w:checkBox>
              <w:sizeAuto/>
              <w:default w:val="0"/>
            </w:checkBox>
          </w:ffData>
        </w:fldChar>
      </w:r>
      <w:r w:rsidR="002C3F5D" w:rsidRPr="00B138B1">
        <w:rPr>
          <w:b/>
        </w:rPr>
        <w:instrText xml:space="preserve"> FORMCHECKBOX </w:instrText>
      </w:r>
      <w:r w:rsidR="0084660B">
        <w:rPr>
          <w:b/>
        </w:rPr>
      </w:r>
      <w:r w:rsidR="0084660B">
        <w:rPr>
          <w:b/>
        </w:rPr>
        <w:fldChar w:fldCharType="separate"/>
      </w:r>
      <w:r w:rsidR="002C3F5D" w:rsidRPr="00B138B1">
        <w:rPr>
          <w:b/>
        </w:rPr>
        <w:fldChar w:fldCharType="end"/>
      </w:r>
      <w:r w:rsidR="002C3F5D" w:rsidRPr="00B138B1">
        <w:rPr>
          <w:b/>
        </w:rPr>
        <w:t xml:space="preserve"> Partially Met</w:t>
      </w:r>
      <w:r w:rsidR="002C3F5D" w:rsidRPr="00B138B1">
        <w:rPr>
          <w:b/>
        </w:rPr>
        <w:tab/>
      </w:r>
      <w:r w:rsidR="002C3F5D" w:rsidRPr="00B138B1">
        <w:rPr>
          <w:b/>
        </w:rPr>
        <w:fldChar w:fldCharType="begin">
          <w:ffData>
            <w:name w:val="Check3"/>
            <w:enabled/>
            <w:calcOnExit w:val="0"/>
            <w:checkBox>
              <w:sizeAuto/>
              <w:default w:val="0"/>
            </w:checkBox>
          </w:ffData>
        </w:fldChar>
      </w:r>
      <w:r w:rsidR="002C3F5D" w:rsidRPr="00B138B1">
        <w:rPr>
          <w:b/>
        </w:rPr>
        <w:instrText xml:space="preserve"> FORMCHECKBOX </w:instrText>
      </w:r>
      <w:r w:rsidR="0084660B">
        <w:rPr>
          <w:b/>
        </w:rPr>
      </w:r>
      <w:r w:rsidR="0084660B">
        <w:rPr>
          <w:b/>
        </w:rPr>
        <w:fldChar w:fldCharType="separate"/>
      </w:r>
      <w:r w:rsidR="002C3F5D" w:rsidRPr="00B138B1">
        <w:rPr>
          <w:b/>
        </w:rPr>
        <w:fldChar w:fldCharType="end"/>
      </w:r>
      <w:r w:rsidR="002C3F5D" w:rsidRPr="00B138B1">
        <w:rPr>
          <w:b/>
        </w:rPr>
        <w:t xml:space="preserve"> Not Met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1D5100" w:rsidRPr="001D5100" w14:paraId="6CD0D873" w14:textId="77777777" w:rsidTr="00E45C1E">
        <w:tc>
          <w:tcPr>
            <w:tcW w:w="9016" w:type="dxa"/>
            <w:shd w:val="clear" w:color="auto" w:fill="F2F2F2" w:themeFill="background1" w:themeFillShade="F2"/>
          </w:tcPr>
          <w:p w14:paraId="079B5321" w14:textId="32DFA9A7" w:rsidR="001D5100" w:rsidRPr="00E45C1E" w:rsidRDefault="001D5100" w:rsidP="00C3530A">
            <w:pPr>
              <w:rPr>
                <w:i/>
              </w:rPr>
            </w:pPr>
            <w:r w:rsidRPr="00E45C1E">
              <w:rPr>
                <w:i/>
              </w:rPr>
              <w:t xml:space="preserve">NOPTA assesses that it has met KPI 5. </w:t>
            </w:r>
            <w:r w:rsidR="009B7B51" w:rsidRPr="00E45C1E">
              <w:rPr>
                <w:i/>
              </w:rPr>
              <w:t xml:space="preserve">This </w:t>
            </w:r>
            <w:r w:rsidR="00370558">
              <w:rPr>
                <w:i/>
              </w:rPr>
              <w:t xml:space="preserve">evident through positive stakeholder feedback in relation to </w:t>
            </w:r>
            <w:r w:rsidR="00370558" w:rsidRPr="00370558">
              <w:rPr>
                <w:i/>
              </w:rPr>
              <w:t>the transparency of NOPTA decision</w:t>
            </w:r>
            <w:r w:rsidR="005142AF">
              <w:rPr>
                <w:i/>
              </w:rPr>
              <w:t>s</w:t>
            </w:r>
            <w:r w:rsidR="00370558">
              <w:rPr>
                <w:i/>
              </w:rPr>
              <w:t xml:space="preserve">, as well as NOPTA’s ongoing commitment to </w:t>
            </w:r>
            <w:r w:rsidR="0005236C">
              <w:rPr>
                <w:i/>
              </w:rPr>
              <w:t xml:space="preserve">open and regular communication with our stakeholders. </w:t>
            </w:r>
            <w:r w:rsidR="00370558">
              <w:rPr>
                <w:i/>
              </w:rPr>
              <w:t xml:space="preserve">  </w:t>
            </w:r>
            <w:r w:rsidR="009B7B51" w:rsidRPr="00E45C1E">
              <w:rPr>
                <w:i/>
              </w:rPr>
              <w:t xml:space="preserve"> </w:t>
            </w:r>
          </w:p>
        </w:tc>
      </w:tr>
    </w:tbl>
    <w:p w14:paraId="230CAE36" w14:textId="77777777" w:rsidR="001D5100" w:rsidRPr="001D5100" w:rsidRDefault="001D5100" w:rsidP="00C3530A">
      <w:pPr>
        <w:spacing w:after="0" w:line="240" w:lineRule="auto"/>
        <w:rPr>
          <w:highlight w:val="yellow"/>
        </w:rPr>
      </w:pPr>
    </w:p>
    <w:p w14:paraId="5611DD1B" w14:textId="48E6CCA5" w:rsidR="00A54072" w:rsidRDefault="00A54072" w:rsidP="00C3530A">
      <w:pPr>
        <w:pStyle w:val="Bullet"/>
        <w:numPr>
          <w:ilvl w:val="0"/>
          <w:numId w:val="44"/>
        </w:numPr>
        <w:rPr>
          <w:sz w:val="22"/>
          <w:szCs w:val="22"/>
        </w:rPr>
      </w:pPr>
      <w:bookmarkStart w:id="54" w:name="_Toc497215488"/>
      <w:r w:rsidRPr="00BB3347">
        <w:rPr>
          <w:sz w:val="22"/>
          <w:szCs w:val="22"/>
        </w:rPr>
        <w:t>81 per cent of respondents</w:t>
      </w:r>
      <w:r>
        <w:rPr>
          <w:sz w:val="22"/>
          <w:szCs w:val="22"/>
        </w:rPr>
        <w:t xml:space="preserve"> to the survey</w:t>
      </w:r>
      <w:r w:rsidRPr="00BB3347">
        <w:rPr>
          <w:sz w:val="22"/>
          <w:szCs w:val="22"/>
        </w:rPr>
        <w:t xml:space="preserve"> indicated that NOPTA decisions are ‘always’ or ‘often’ transparent, and 80 per cent indicated that decisions were ‘always’ or ‘often’ justified with reference to legislation and guidelines.   </w:t>
      </w:r>
    </w:p>
    <w:p w14:paraId="28E3C3CC" w14:textId="3E4F77FD" w:rsidR="004B7E35" w:rsidRDefault="004B7E35" w:rsidP="00C3530A">
      <w:pPr>
        <w:pStyle w:val="Bullet"/>
        <w:numPr>
          <w:ilvl w:val="0"/>
          <w:numId w:val="44"/>
        </w:numPr>
        <w:rPr>
          <w:sz w:val="22"/>
          <w:szCs w:val="22"/>
        </w:rPr>
      </w:pPr>
      <w:r>
        <w:rPr>
          <w:sz w:val="22"/>
          <w:szCs w:val="22"/>
        </w:rPr>
        <w:t>Regarding J</w:t>
      </w:r>
      <w:r w:rsidR="00A54072">
        <w:rPr>
          <w:sz w:val="22"/>
          <w:szCs w:val="22"/>
        </w:rPr>
        <w:t xml:space="preserve">oint </w:t>
      </w:r>
      <w:r>
        <w:rPr>
          <w:sz w:val="22"/>
          <w:szCs w:val="22"/>
        </w:rPr>
        <w:t>A</w:t>
      </w:r>
      <w:r w:rsidR="00A54072">
        <w:rPr>
          <w:sz w:val="22"/>
          <w:szCs w:val="22"/>
        </w:rPr>
        <w:t>uthority</w:t>
      </w:r>
      <w:r>
        <w:rPr>
          <w:sz w:val="22"/>
          <w:szCs w:val="22"/>
        </w:rPr>
        <w:t xml:space="preserve"> decisions, 69 per cent of respondents indicated that these </w:t>
      </w:r>
      <w:r w:rsidRPr="003514CC">
        <w:rPr>
          <w:sz w:val="22"/>
          <w:szCs w:val="22"/>
        </w:rPr>
        <w:t>are ‘always’ or ‘often’ transparent</w:t>
      </w:r>
      <w:r>
        <w:rPr>
          <w:sz w:val="22"/>
          <w:szCs w:val="22"/>
        </w:rPr>
        <w:t xml:space="preserve">, </w:t>
      </w:r>
      <w:r w:rsidRPr="003514CC">
        <w:rPr>
          <w:sz w:val="22"/>
          <w:szCs w:val="22"/>
        </w:rPr>
        <w:t xml:space="preserve">and </w:t>
      </w:r>
      <w:r>
        <w:rPr>
          <w:sz w:val="22"/>
          <w:szCs w:val="22"/>
        </w:rPr>
        <w:t>68</w:t>
      </w:r>
      <w:r w:rsidRPr="003514CC">
        <w:rPr>
          <w:sz w:val="22"/>
          <w:szCs w:val="22"/>
        </w:rPr>
        <w:t xml:space="preserve"> per cent indicated that decisions were ‘always’ or ‘often’ justified with reference to legislation and guidelines.</w:t>
      </w:r>
      <w:r>
        <w:rPr>
          <w:sz w:val="22"/>
          <w:szCs w:val="22"/>
        </w:rPr>
        <w:t xml:space="preserve">  </w:t>
      </w:r>
      <w:r w:rsidRPr="003514CC">
        <w:rPr>
          <w:sz w:val="22"/>
          <w:szCs w:val="22"/>
        </w:rPr>
        <w:t xml:space="preserve"> </w:t>
      </w:r>
    </w:p>
    <w:p w14:paraId="57A53F53" w14:textId="74307E67" w:rsidR="006C59B4" w:rsidRPr="00DE52BE" w:rsidRDefault="006C59B4" w:rsidP="00C3530A">
      <w:pPr>
        <w:pStyle w:val="Bullet"/>
        <w:numPr>
          <w:ilvl w:val="0"/>
          <w:numId w:val="44"/>
        </w:numPr>
        <w:rPr>
          <w:sz w:val="22"/>
          <w:szCs w:val="22"/>
        </w:rPr>
      </w:pPr>
      <w:r w:rsidRPr="00DE52BE">
        <w:rPr>
          <w:sz w:val="22"/>
          <w:szCs w:val="22"/>
        </w:rPr>
        <w:t xml:space="preserve">NOPTA </w:t>
      </w:r>
      <w:r w:rsidR="00180D2A">
        <w:rPr>
          <w:sz w:val="22"/>
          <w:szCs w:val="22"/>
        </w:rPr>
        <w:t>attended</w:t>
      </w:r>
      <w:r w:rsidRPr="00DE52BE">
        <w:rPr>
          <w:sz w:val="22"/>
          <w:szCs w:val="22"/>
        </w:rPr>
        <w:t xml:space="preserve"> all relevant Senate Estimates (Economics Committee) hearings for 2018-19. </w:t>
      </w:r>
    </w:p>
    <w:p w14:paraId="04E77BF3" w14:textId="036E3DB7" w:rsidR="006C59B4" w:rsidRPr="00DE52BE" w:rsidRDefault="006C59B4" w:rsidP="00C3530A">
      <w:pPr>
        <w:pStyle w:val="Bullet"/>
        <w:numPr>
          <w:ilvl w:val="0"/>
          <w:numId w:val="44"/>
        </w:numPr>
        <w:rPr>
          <w:sz w:val="22"/>
          <w:szCs w:val="22"/>
        </w:rPr>
      </w:pPr>
      <w:r w:rsidRPr="00DE52BE">
        <w:rPr>
          <w:sz w:val="22"/>
          <w:szCs w:val="22"/>
        </w:rPr>
        <w:t xml:space="preserve">NOPTA </w:t>
      </w:r>
      <w:r w:rsidR="00DE52BE" w:rsidRPr="00DE52BE">
        <w:rPr>
          <w:sz w:val="22"/>
          <w:szCs w:val="22"/>
        </w:rPr>
        <w:t>produces an ‘</w:t>
      </w:r>
      <w:r w:rsidRPr="00DE52BE">
        <w:rPr>
          <w:sz w:val="22"/>
          <w:szCs w:val="22"/>
        </w:rPr>
        <w:t>annual report of activities</w:t>
      </w:r>
      <w:r w:rsidR="00DE52BE" w:rsidRPr="00DE52BE">
        <w:rPr>
          <w:sz w:val="22"/>
          <w:szCs w:val="22"/>
        </w:rPr>
        <w:t xml:space="preserve">’ which has been </w:t>
      </w:r>
      <w:r w:rsidR="00DE52BE">
        <w:rPr>
          <w:sz w:val="22"/>
          <w:szCs w:val="22"/>
        </w:rPr>
        <w:t xml:space="preserve">substantially </w:t>
      </w:r>
      <w:r w:rsidR="00DE52BE" w:rsidRPr="00DE52BE">
        <w:rPr>
          <w:sz w:val="22"/>
          <w:szCs w:val="22"/>
        </w:rPr>
        <w:t>revised</w:t>
      </w:r>
      <w:r w:rsidRPr="00DE52BE">
        <w:rPr>
          <w:sz w:val="22"/>
          <w:szCs w:val="22"/>
        </w:rPr>
        <w:t xml:space="preserve"> for </w:t>
      </w:r>
      <w:r w:rsidR="00DE52BE" w:rsidRPr="00DE52BE">
        <w:rPr>
          <w:sz w:val="22"/>
          <w:szCs w:val="22"/>
        </w:rPr>
        <w:t xml:space="preserve">the 2018-19 financial year to provide more transparency around its </w:t>
      </w:r>
      <w:r w:rsidR="00DE52BE">
        <w:rPr>
          <w:sz w:val="22"/>
          <w:szCs w:val="22"/>
        </w:rPr>
        <w:t>role,</w:t>
      </w:r>
      <w:r w:rsidR="00DE52BE" w:rsidRPr="00DE52BE">
        <w:rPr>
          <w:sz w:val="22"/>
          <w:szCs w:val="22"/>
        </w:rPr>
        <w:t xml:space="preserve"> strategic objectives and contribution to the regime in which it operates.</w:t>
      </w:r>
      <w:r w:rsidRPr="00DE52BE">
        <w:rPr>
          <w:sz w:val="22"/>
          <w:szCs w:val="22"/>
        </w:rPr>
        <w:t xml:space="preserve"> </w:t>
      </w:r>
      <w:r w:rsidR="00DE52BE">
        <w:rPr>
          <w:sz w:val="22"/>
          <w:szCs w:val="22"/>
        </w:rPr>
        <w:t xml:space="preserve">The NOPTA annual report of activities is published in addition to NOPTA’s requirement to provide input into the </w:t>
      </w:r>
      <w:r w:rsidR="005D5D82">
        <w:rPr>
          <w:sz w:val="22"/>
          <w:szCs w:val="22"/>
        </w:rPr>
        <w:t xml:space="preserve">department’s </w:t>
      </w:r>
      <w:r w:rsidR="00A54072">
        <w:rPr>
          <w:sz w:val="22"/>
          <w:szCs w:val="22"/>
        </w:rPr>
        <w:t xml:space="preserve">(legislated) </w:t>
      </w:r>
      <w:r w:rsidR="00DE52BE">
        <w:rPr>
          <w:sz w:val="22"/>
          <w:szCs w:val="22"/>
        </w:rPr>
        <w:t xml:space="preserve">annual report process. </w:t>
      </w:r>
    </w:p>
    <w:p w14:paraId="2A27FBCF" w14:textId="0C750E0A" w:rsidR="00CF77CC" w:rsidRDefault="00CF77CC" w:rsidP="00C3530A">
      <w:pPr>
        <w:pStyle w:val="Bullet"/>
        <w:numPr>
          <w:ilvl w:val="0"/>
          <w:numId w:val="44"/>
        </w:numPr>
        <w:rPr>
          <w:sz w:val="22"/>
          <w:szCs w:val="22"/>
        </w:rPr>
      </w:pPr>
      <w:r w:rsidRPr="00AA76A4">
        <w:rPr>
          <w:sz w:val="22"/>
          <w:szCs w:val="22"/>
        </w:rPr>
        <w:t xml:space="preserve">NOPTA </w:t>
      </w:r>
      <w:r w:rsidR="00DE52BE" w:rsidRPr="00AA76A4">
        <w:rPr>
          <w:sz w:val="22"/>
          <w:szCs w:val="22"/>
        </w:rPr>
        <w:t>has published its</w:t>
      </w:r>
      <w:r w:rsidRPr="00AA76A4">
        <w:rPr>
          <w:sz w:val="22"/>
          <w:szCs w:val="22"/>
        </w:rPr>
        <w:t xml:space="preserve"> </w:t>
      </w:r>
      <w:r w:rsidR="00DE52BE" w:rsidRPr="00AA76A4">
        <w:rPr>
          <w:sz w:val="22"/>
          <w:szCs w:val="22"/>
        </w:rPr>
        <w:t xml:space="preserve">2017-20 </w:t>
      </w:r>
      <w:r w:rsidRPr="00AA76A4">
        <w:rPr>
          <w:sz w:val="22"/>
          <w:szCs w:val="22"/>
        </w:rPr>
        <w:t xml:space="preserve">Corporate Plan </w:t>
      </w:r>
      <w:r w:rsidR="00DE52BE" w:rsidRPr="00AA76A4">
        <w:rPr>
          <w:sz w:val="22"/>
          <w:szCs w:val="22"/>
        </w:rPr>
        <w:t xml:space="preserve">which </w:t>
      </w:r>
      <w:r w:rsidR="00AA76A4" w:rsidRPr="00AA76A4">
        <w:rPr>
          <w:sz w:val="22"/>
          <w:szCs w:val="22"/>
        </w:rPr>
        <w:t>includes the six RPF KPIs</w:t>
      </w:r>
      <w:r w:rsidR="004F4A23">
        <w:rPr>
          <w:sz w:val="22"/>
          <w:szCs w:val="22"/>
        </w:rPr>
        <w:t xml:space="preserve">. </w:t>
      </w:r>
      <w:r w:rsidR="00A54072">
        <w:rPr>
          <w:sz w:val="22"/>
          <w:szCs w:val="22"/>
        </w:rPr>
        <w:t xml:space="preserve">NOPTA has aligned its </w:t>
      </w:r>
      <w:r w:rsidRPr="00AA76A4">
        <w:rPr>
          <w:sz w:val="22"/>
          <w:szCs w:val="22"/>
        </w:rPr>
        <w:t>public reporting</w:t>
      </w:r>
      <w:r w:rsidR="00AA76A4" w:rsidRPr="00AA76A4">
        <w:rPr>
          <w:sz w:val="22"/>
          <w:szCs w:val="22"/>
        </w:rPr>
        <w:t xml:space="preserve"> obligations</w:t>
      </w:r>
      <w:r w:rsidR="00DE52BE" w:rsidRPr="00AA76A4">
        <w:rPr>
          <w:sz w:val="22"/>
          <w:szCs w:val="22"/>
        </w:rPr>
        <w:t>,</w:t>
      </w:r>
      <w:r w:rsidRPr="00AA76A4">
        <w:rPr>
          <w:sz w:val="22"/>
          <w:szCs w:val="22"/>
        </w:rPr>
        <w:t xml:space="preserve"> </w:t>
      </w:r>
      <w:r w:rsidR="005142AF" w:rsidRPr="00AA76A4">
        <w:rPr>
          <w:sz w:val="22"/>
          <w:szCs w:val="22"/>
        </w:rPr>
        <w:t>including</w:t>
      </w:r>
      <w:r w:rsidR="00AA76A4" w:rsidRPr="00AA76A4">
        <w:rPr>
          <w:sz w:val="22"/>
          <w:szCs w:val="22"/>
        </w:rPr>
        <w:t xml:space="preserve"> stakeholder surveys</w:t>
      </w:r>
      <w:r w:rsidR="00A54072">
        <w:rPr>
          <w:sz w:val="22"/>
          <w:szCs w:val="22"/>
        </w:rPr>
        <w:t>,</w:t>
      </w:r>
      <w:r w:rsidR="00DE52BE" w:rsidRPr="00AA76A4">
        <w:rPr>
          <w:sz w:val="22"/>
          <w:szCs w:val="22"/>
        </w:rPr>
        <w:t xml:space="preserve"> </w:t>
      </w:r>
      <w:r w:rsidR="00AA76A4" w:rsidRPr="00AA76A4">
        <w:rPr>
          <w:sz w:val="22"/>
          <w:szCs w:val="22"/>
        </w:rPr>
        <w:t>annual report of activities</w:t>
      </w:r>
      <w:r w:rsidR="00A54072">
        <w:rPr>
          <w:sz w:val="22"/>
          <w:szCs w:val="22"/>
        </w:rPr>
        <w:t>,</w:t>
      </w:r>
      <w:r w:rsidR="00AA76A4" w:rsidRPr="00AA76A4">
        <w:rPr>
          <w:sz w:val="22"/>
          <w:szCs w:val="22"/>
        </w:rPr>
        <w:t xml:space="preserve"> annual</w:t>
      </w:r>
      <w:r w:rsidR="00DE52BE" w:rsidRPr="00AA76A4">
        <w:rPr>
          <w:sz w:val="22"/>
          <w:szCs w:val="22"/>
        </w:rPr>
        <w:t xml:space="preserve"> RPF self-assessment</w:t>
      </w:r>
      <w:r w:rsidR="00A54072">
        <w:rPr>
          <w:sz w:val="22"/>
          <w:szCs w:val="22"/>
        </w:rPr>
        <w:t xml:space="preserve"> and internal risk management assessments to take account of objectives under the corporate plan</w:t>
      </w:r>
      <w:r w:rsidRPr="00AA76A4">
        <w:rPr>
          <w:sz w:val="22"/>
          <w:szCs w:val="22"/>
        </w:rPr>
        <w:t xml:space="preserve">. </w:t>
      </w:r>
    </w:p>
    <w:p w14:paraId="2300F0D4" w14:textId="3742588B" w:rsidR="00CF77CC" w:rsidRPr="004F259F" w:rsidRDefault="009C0835" w:rsidP="00C3530A">
      <w:pPr>
        <w:pStyle w:val="Bullet"/>
        <w:numPr>
          <w:ilvl w:val="0"/>
          <w:numId w:val="44"/>
        </w:numPr>
        <w:rPr>
          <w:sz w:val="22"/>
          <w:szCs w:val="22"/>
        </w:rPr>
      </w:pPr>
      <w:r>
        <w:rPr>
          <w:sz w:val="22"/>
          <w:szCs w:val="22"/>
        </w:rPr>
        <w:t xml:space="preserve">In conjunction with the Offshore Resources Branch of </w:t>
      </w:r>
      <w:r w:rsidR="005D5D82">
        <w:rPr>
          <w:sz w:val="22"/>
          <w:szCs w:val="22"/>
        </w:rPr>
        <w:t xml:space="preserve">the department </w:t>
      </w:r>
      <w:r>
        <w:rPr>
          <w:sz w:val="22"/>
          <w:szCs w:val="22"/>
        </w:rPr>
        <w:t xml:space="preserve">(and other agencies where relevant) </w:t>
      </w:r>
      <w:r w:rsidR="00A86D3A">
        <w:rPr>
          <w:sz w:val="22"/>
          <w:szCs w:val="22"/>
        </w:rPr>
        <w:t>NOPTA</w:t>
      </w:r>
      <w:r>
        <w:rPr>
          <w:sz w:val="22"/>
          <w:szCs w:val="22"/>
        </w:rPr>
        <w:t xml:space="preserve"> has published a large suite of guidance material on its </w:t>
      </w:r>
      <w:hyperlink r:id="rId25" w:history="1">
        <w:r w:rsidRPr="008E1253">
          <w:rPr>
            <w:rStyle w:val="Hyperlink"/>
            <w:sz w:val="22"/>
            <w:szCs w:val="22"/>
          </w:rPr>
          <w:t>website</w:t>
        </w:r>
      </w:hyperlink>
      <w:r>
        <w:rPr>
          <w:sz w:val="22"/>
          <w:szCs w:val="22"/>
        </w:rPr>
        <w:t>.</w:t>
      </w:r>
      <w:r w:rsidR="00A86D3A">
        <w:rPr>
          <w:sz w:val="22"/>
          <w:szCs w:val="22"/>
        </w:rPr>
        <w:t xml:space="preserve"> </w:t>
      </w:r>
      <w:r>
        <w:rPr>
          <w:sz w:val="22"/>
          <w:szCs w:val="22"/>
        </w:rPr>
        <w:t xml:space="preserve">NOPTA </w:t>
      </w:r>
      <w:r w:rsidR="005142AF">
        <w:rPr>
          <w:sz w:val="22"/>
          <w:szCs w:val="22"/>
        </w:rPr>
        <w:lastRenderedPageBreak/>
        <w:t xml:space="preserve">periodically </w:t>
      </w:r>
      <w:r>
        <w:rPr>
          <w:sz w:val="22"/>
          <w:szCs w:val="22"/>
        </w:rPr>
        <w:t xml:space="preserve">reviews guidance material </w:t>
      </w:r>
      <w:r w:rsidRPr="004F259F">
        <w:rPr>
          <w:sz w:val="22"/>
          <w:szCs w:val="22"/>
        </w:rPr>
        <w:t xml:space="preserve">to clarify existing processes and reflect </w:t>
      </w:r>
      <w:r w:rsidR="008E1253">
        <w:rPr>
          <w:sz w:val="22"/>
          <w:szCs w:val="22"/>
        </w:rPr>
        <w:t xml:space="preserve">any </w:t>
      </w:r>
      <w:r w:rsidRPr="004F259F">
        <w:rPr>
          <w:sz w:val="22"/>
          <w:szCs w:val="22"/>
        </w:rPr>
        <w:t xml:space="preserve">relevant changes to the regulatory framework. </w:t>
      </w:r>
    </w:p>
    <w:p w14:paraId="52B0082D" w14:textId="7CBB92E3" w:rsidR="00CF77CC" w:rsidRPr="004F259F" w:rsidRDefault="00CF77CC" w:rsidP="00C3530A">
      <w:pPr>
        <w:pStyle w:val="Bullet"/>
        <w:rPr>
          <w:rFonts w:ascii="Calibri" w:hAnsi="Calibri" w:cs="Calibri"/>
          <w:color w:val="000000"/>
        </w:rPr>
      </w:pPr>
      <w:r w:rsidRPr="009E2597">
        <w:rPr>
          <w:sz w:val="22"/>
          <w:szCs w:val="22"/>
        </w:rPr>
        <w:t xml:space="preserve">Operating Protocols for Offshore Petroleum Joint Authorities and </w:t>
      </w:r>
      <w:r w:rsidR="008E1253">
        <w:rPr>
          <w:sz w:val="22"/>
          <w:szCs w:val="22"/>
        </w:rPr>
        <w:t>S</w:t>
      </w:r>
      <w:r w:rsidRPr="009E2597">
        <w:rPr>
          <w:sz w:val="22"/>
          <w:szCs w:val="22"/>
        </w:rPr>
        <w:t xml:space="preserve">upporting </w:t>
      </w:r>
      <w:r w:rsidR="008E1253">
        <w:rPr>
          <w:sz w:val="22"/>
          <w:szCs w:val="22"/>
        </w:rPr>
        <w:t>I</w:t>
      </w:r>
      <w:r w:rsidRPr="009E2597">
        <w:rPr>
          <w:sz w:val="22"/>
          <w:szCs w:val="22"/>
        </w:rPr>
        <w:t>nstitutions’ (</w:t>
      </w:r>
      <w:r w:rsidR="008E1253">
        <w:rPr>
          <w:sz w:val="22"/>
          <w:szCs w:val="22"/>
        </w:rPr>
        <w:t xml:space="preserve">the </w:t>
      </w:r>
      <w:r w:rsidRPr="009E2597">
        <w:rPr>
          <w:sz w:val="22"/>
          <w:szCs w:val="22"/>
        </w:rPr>
        <w:t xml:space="preserve">Joint Authority Protocol) is published on the </w:t>
      </w:r>
      <w:hyperlink r:id="rId26" w:history="1">
        <w:r w:rsidRPr="008E1253">
          <w:rPr>
            <w:rStyle w:val="Hyperlink"/>
            <w:sz w:val="22"/>
            <w:szCs w:val="22"/>
          </w:rPr>
          <w:t>NOPTA website</w:t>
        </w:r>
      </w:hyperlink>
      <w:r w:rsidRPr="009E2597">
        <w:rPr>
          <w:sz w:val="22"/>
          <w:szCs w:val="22"/>
        </w:rPr>
        <w:t xml:space="preserve">. </w:t>
      </w:r>
      <w:r w:rsidR="009E2597" w:rsidRPr="009E2597">
        <w:rPr>
          <w:sz w:val="22"/>
          <w:szCs w:val="22"/>
        </w:rPr>
        <w:t xml:space="preserve">This document provides clarity around </w:t>
      </w:r>
      <w:r w:rsidR="009E2597" w:rsidRPr="009E2597">
        <w:rPr>
          <w:rFonts w:ascii="Calibri" w:eastAsiaTheme="minorHAnsi" w:hAnsi="Calibri" w:cs="Calibri"/>
          <w:color w:val="000000"/>
          <w:sz w:val="22"/>
          <w:szCs w:val="22"/>
        </w:rPr>
        <w:t xml:space="preserve">the roles and functions of the </w:t>
      </w:r>
      <w:r w:rsidR="009E2597">
        <w:rPr>
          <w:rFonts w:ascii="Calibri" w:eastAsiaTheme="minorHAnsi" w:hAnsi="Calibri" w:cs="Calibri"/>
          <w:color w:val="000000"/>
          <w:sz w:val="22"/>
          <w:szCs w:val="22"/>
        </w:rPr>
        <w:t>J</w:t>
      </w:r>
      <w:r w:rsidR="008E1253">
        <w:rPr>
          <w:rFonts w:ascii="Calibri" w:eastAsiaTheme="minorHAnsi" w:hAnsi="Calibri" w:cs="Calibri"/>
          <w:color w:val="000000"/>
          <w:sz w:val="22"/>
          <w:szCs w:val="22"/>
        </w:rPr>
        <w:t>oint Authority</w:t>
      </w:r>
      <w:r w:rsidR="009E2597" w:rsidRPr="009E2597">
        <w:rPr>
          <w:rFonts w:ascii="Calibri" w:eastAsiaTheme="minorHAnsi" w:hAnsi="Calibri" w:cs="Calibri"/>
          <w:color w:val="000000"/>
          <w:sz w:val="22"/>
          <w:szCs w:val="22"/>
        </w:rPr>
        <w:t>, NOPTA, NOPSEMA and other stakeholders.</w:t>
      </w:r>
    </w:p>
    <w:p w14:paraId="38605217" w14:textId="68BE7BC7" w:rsidR="00CF77CC" w:rsidRDefault="004F259F" w:rsidP="00C3530A">
      <w:pPr>
        <w:pStyle w:val="Bullet"/>
        <w:spacing w:after="0"/>
        <w:rPr>
          <w:rFonts w:ascii="Calibri" w:hAnsi="Calibri" w:cs="Calibri"/>
          <w:color w:val="000000"/>
        </w:rPr>
      </w:pPr>
      <w:r w:rsidRPr="00817F72">
        <w:rPr>
          <w:sz w:val="22"/>
          <w:szCs w:val="22"/>
        </w:rPr>
        <w:t xml:space="preserve">Since January 2015 NOPTA has published a dashboard report to keep stakeholders up to date with NOPTA's key performance stats. </w:t>
      </w:r>
    </w:p>
    <w:p w14:paraId="74615240" w14:textId="594727BD" w:rsidR="006352F3" w:rsidRDefault="006352F3" w:rsidP="00C3530A">
      <w:pPr>
        <w:pStyle w:val="Bullet"/>
        <w:numPr>
          <w:ilvl w:val="0"/>
          <w:numId w:val="0"/>
        </w:numPr>
        <w:pBdr>
          <w:bottom w:val="single" w:sz="6" w:space="1" w:color="auto"/>
        </w:pBdr>
        <w:spacing w:after="0"/>
        <w:ind w:left="360" w:hanging="360"/>
        <w:rPr>
          <w:rFonts w:ascii="Calibri" w:hAnsi="Calibri" w:cs="Calibri"/>
          <w:color w:val="000000"/>
        </w:rPr>
      </w:pPr>
    </w:p>
    <w:p w14:paraId="19CC599A" w14:textId="77777777" w:rsidR="006352F3" w:rsidRDefault="006352F3" w:rsidP="00C3530A">
      <w:pPr>
        <w:pStyle w:val="Bullet"/>
        <w:numPr>
          <w:ilvl w:val="0"/>
          <w:numId w:val="0"/>
        </w:numPr>
        <w:pBdr>
          <w:bottom w:val="single" w:sz="6" w:space="1" w:color="auto"/>
        </w:pBdr>
        <w:spacing w:after="0"/>
        <w:ind w:left="360" w:hanging="360"/>
        <w:rPr>
          <w:rFonts w:ascii="Calibri" w:hAnsi="Calibri" w:cs="Calibri"/>
          <w:color w:val="000000"/>
        </w:rPr>
      </w:pPr>
    </w:p>
    <w:p w14:paraId="0197FA51" w14:textId="77777777" w:rsidR="006352F3" w:rsidRPr="00CF77CC" w:rsidRDefault="006352F3" w:rsidP="00C3530A">
      <w:pPr>
        <w:pStyle w:val="Bullet"/>
        <w:numPr>
          <w:ilvl w:val="0"/>
          <w:numId w:val="0"/>
        </w:numPr>
        <w:spacing w:after="0"/>
        <w:ind w:left="360" w:hanging="360"/>
        <w:rPr>
          <w:rFonts w:ascii="Calibri" w:hAnsi="Calibri" w:cs="Calibri"/>
          <w:color w:val="000000"/>
        </w:rPr>
      </w:pPr>
    </w:p>
    <w:p w14:paraId="13C04425" w14:textId="77777777" w:rsidR="00CF77CC" w:rsidRDefault="00CF77CC" w:rsidP="00C3530A">
      <w:pPr>
        <w:spacing w:after="0" w:line="240" w:lineRule="auto"/>
      </w:pPr>
    </w:p>
    <w:p w14:paraId="4D42C327" w14:textId="645EE977" w:rsidR="00772396" w:rsidRPr="006352F3" w:rsidRDefault="006F6665" w:rsidP="00C3530A">
      <w:pPr>
        <w:pStyle w:val="Heading2"/>
        <w:jc w:val="left"/>
        <w:rPr>
          <w:color w:val="1F4E79" w:themeColor="accent1" w:themeShade="80"/>
        </w:rPr>
      </w:pPr>
      <w:bookmarkStart w:id="55" w:name="_Toc20813194"/>
      <w:r w:rsidRPr="006352F3">
        <w:rPr>
          <w:color w:val="1F4E79" w:themeColor="accent1" w:themeShade="80"/>
        </w:rPr>
        <w:t>KPI 6: Regulators actively contribute to the continuous improvement of regulatory frameworks</w:t>
      </w:r>
      <w:bookmarkEnd w:id="54"/>
      <w:bookmarkEnd w:id="55"/>
      <w:r w:rsidRPr="006352F3">
        <w:rPr>
          <w:color w:val="1F4E79" w:themeColor="accent1" w:themeShade="80"/>
        </w:rPr>
        <w:t xml:space="preserve"> </w:t>
      </w:r>
      <w:bookmarkStart w:id="56" w:name="_Toc497215489"/>
    </w:p>
    <w:p w14:paraId="15457FB8" w14:textId="77777777" w:rsidR="006F6665" w:rsidRPr="006352F3" w:rsidRDefault="006F6665" w:rsidP="00C3530A">
      <w:pPr>
        <w:pStyle w:val="Heading3"/>
        <w:jc w:val="left"/>
        <w:rPr>
          <w:color w:val="1F4E79" w:themeColor="accent1" w:themeShade="80"/>
        </w:rPr>
      </w:pPr>
      <w:bookmarkStart w:id="57" w:name="_Toc20813195"/>
      <w:r w:rsidRPr="006352F3">
        <w:rPr>
          <w:color w:val="1F4E79" w:themeColor="accent1" w:themeShade="80"/>
        </w:rPr>
        <w:t>KPI Expectations</w:t>
      </w:r>
      <w:bookmarkEnd w:id="56"/>
      <w:bookmarkEnd w:id="57"/>
    </w:p>
    <w:p w14:paraId="37F64F01" w14:textId="0BA2E606" w:rsidR="00772396" w:rsidRDefault="006F6665" w:rsidP="00C3530A">
      <w:pPr>
        <w:spacing w:after="0" w:line="240" w:lineRule="auto"/>
      </w:pPr>
      <w:r w:rsidRPr="00772396">
        <w:t>Regulators will actively contribute to the continuous improvement of the regulatory framework, including establishing cooperative and collaborative relationships with stakeholders and regularly seeking and sharing feedback.</w:t>
      </w:r>
      <w:bookmarkStart w:id="58" w:name="_Toc497215490"/>
      <w:r w:rsidR="006B57C3">
        <w:t xml:space="preserve"> </w:t>
      </w:r>
    </w:p>
    <w:p w14:paraId="7F419F7E" w14:textId="77777777" w:rsidR="006F6665" w:rsidRPr="006352F3" w:rsidRDefault="006F6665" w:rsidP="00C3530A">
      <w:pPr>
        <w:pStyle w:val="Heading3"/>
        <w:jc w:val="left"/>
        <w:rPr>
          <w:color w:val="1F4E79" w:themeColor="accent1" w:themeShade="80"/>
        </w:rPr>
      </w:pPr>
      <w:bookmarkStart w:id="59" w:name="_Toc20813196"/>
      <w:r w:rsidRPr="006352F3">
        <w:rPr>
          <w:color w:val="1F4E79" w:themeColor="accent1" w:themeShade="80"/>
        </w:rPr>
        <w:t>NOPTA’s Approach</w:t>
      </w:r>
      <w:bookmarkEnd w:id="58"/>
      <w:bookmarkEnd w:id="59"/>
      <w:r w:rsidRPr="006352F3">
        <w:rPr>
          <w:color w:val="1F4E79" w:themeColor="accent1" w:themeShade="80"/>
        </w:rPr>
        <w:t xml:space="preserve"> </w:t>
      </w:r>
    </w:p>
    <w:p w14:paraId="1390A594" w14:textId="3D65DEBA" w:rsidR="00F20765" w:rsidRPr="00F20765" w:rsidRDefault="00B17DDC" w:rsidP="00C3530A">
      <w:pPr>
        <w:spacing w:line="240" w:lineRule="auto"/>
      </w:pPr>
      <w:bookmarkStart w:id="60" w:name="_Toc497215491"/>
      <w:r>
        <w:t xml:space="preserve">NOPTA </w:t>
      </w:r>
      <w:r w:rsidR="00F20765" w:rsidRPr="00F20765">
        <w:t>work</w:t>
      </w:r>
      <w:r>
        <w:t>s</w:t>
      </w:r>
      <w:r w:rsidR="00F20765" w:rsidRPr="00F20765">
        <w:t xml:space="preserve"> collaboratively</w:t>
      </w:r>
      <w:r w:rsidR="00F20765">
        <w:t xml:space="preserve"> </w:t>
      </w:r>
      <w:r w:rsidR="00F20765" w:rsidRPr="00F20765">
        <w:t xml:space="preserve">with </w:t>
      </w:r>
      <w:r w:rsidR="00180D2A">
        <w:t>Offshore Resources Branch</w:t>
      </w:r>
      <w:r w:rsidR="00180D2A" w:rsidRPr="00F20765">
        <w:t xml:space="preserve"> </w:t>
      </w:r>
      <w:r w:rsidR="00F20765" w:rsidRPr="00F20765">
        <w:t>as the policy a</w:t>
      </w:r>
      <w:r w:rsidR="00180D2A">
        <w:t>r</w:t>
      </w:r>
      <w:r w:rsidR="00F20765" w:rsidRPr="00F20765">
        <w:t>e</w:t>
      </w:r>
      <w:r w:rsidR="00180D2A">
        <w:t xml:space="preserve">a of </w:t>
      </w:r>
      <w:r w:rsidR="005D5D82">
        <w:t>the department</w:t>
      </w:r>
      <w:r w:rsidR="00F20765" w:rsidRPr="00F20765">
        <w:t xml:space="preserve"> to provide constructive input into regulatory change</w:t>
      </w:r>
      <w:r w:rsidR="00F20765">
        <w:t xml:space="preserve"> </w:t>
      </w:r>
      <w:r w:rsidR="00B92389" w:rsidRPr="00F20765">
        <w:t>processes and</w:t>
      </w:r>
      <w:r w:rsidR="00F20765" w:rsidRPr="00F20765">
        <w:t xml:space="preserve"> work</w:t>
      </w:r>
      <w:r>
        <w:t>s</w:t>
      </w:r>
      <w:r w:rsidR="00F20765" w:rsidRPr="00F20765">
        <w:t xml:space="preserve"> </w:t>
      </w:r>
      <w:r w:rsidR="00031A2B">
        <w:t xml:space="preserve">closely with industry and other stakeholders </w:t>
      </w:r>
      <w:r w:rsidR="00F20765" w:rsidRPr="00F20765">
        <w:t>to</w:t>
      </w:r>
      <w:r w:rsidR="00031A2B">
        <w:t xml:space="preserve"> provide guidance and</w:t>
      </w:r>
      <w:r w:rsidR="00F20765" w:rsidRPr="00F20765">
        <w:t xml:space="preserve"> implement changes </w:t>
      </w:r>
      <w:r w:rsidR="00031A2B">
        <w:t>as they arise</w:t>
      </w:r>
      <w:r w:rsidR="00F20765" w:rsidRPr="00F20765">
        <w:t>.</w:t>
      </w:r>
    </w:p>
    <w:p w14:paraId="2F2CDB89" w14:textId="44277C96" w:rsidR="006F6665" w:rsidRPr="00B138B1" w:rsidRDefault="006F6665" w:rsidP="00C3530A">
      <w:pPr>
        <w:spacing w:line="240" w:lineRule="auto"/>
        <w:rPr>
          <w:b/>
        </w:rPr>
      </w:pPr>
      <w:r w:rsidRPr="00B138B1">
        <w:rPr>
          <w:b/>
        </w:rPr>
        <w:t>Results</w:t>
      </w:r>
      <w:bookmarkEnd w:id="60"/>
      <w:r w:rsidR="002C3F5D" w:rsidRPr="00B138B1">
        <w:rPr>
          <w:b/>
        </w:rPr>
        <w:t xml:space="preserve">: </w:t>
      </w:r>
      <w:r w:rsidR="002C3F5D" w:rsidRPr="00B138B1">
        <w:rPr>
          <w:b/>
        </w:rPr>
        <w:tab/>
      </w:r>
      <w:r w:rsidR="002C3F5D" w:rsidRPr="00B138B1">
        <w:rPr>
          <w:b/>
        </w:rPr>
        <w:fldChar w:fldCharType="begin">
          <w:ffData>
            <w:name w:val="Check1"/>
            <w:enabled/>
            <w:calcOnExit w:val="0"/>
            <w:checkBox>
              <w:sizeAuto/>
              <w:default w:val="1"/>
            </w:checkBox>
          </w:ffData>
        </w:fldChar>
      </w:r>
      <w:r w:rsidR="002C3F5D" w:rsidRPr="00B138B1">
        <w:rPr>
          <w:b/>
        </w:rPr>
        <w:instrText xml:space="preserve"> FORMCHECKBOX </w:instrText>
      </w:r>
      <w:r w:rsidR="0084660B">
        <w:rPr>
          <w:b/>
        </w:rPr>
      </w:r>
      <w:r w:rsidR="0084660B">
        <w:rPr>
          <w:b/>
        </w:rPr>
        <w:fldChar w:fldCharType="separate"/>
      </w:r>
      <w:r w:rsidR="002C3F5D" w:rsidRPr="00B138B1">
        <w:rPr>
          <w:b/>
        </w:rPr>
        <w:fldChar w:fldCharType="end"/>
      </w:r>
      <w:r w:rsidR="002C3F5D" w:rsidRPr="00B138B1">
        <w:rPr>
          <w:b/>
        </w:rPr>
        <w:t xml:space="preserve"> Met</w:t>
      </w:r>
      <w:r w:rsidR="002C3F5D" w:rsidRPr="00B138B1">
        <w:rPr>
          <w:b/>
        </w:rPr>
        <w:tab/>
      </w:r>
      <w:r w:rsidR="002C3F5D" w:rsidRPr="00B138B1">
        <w:rPr>
          <w:b/>
        </w:rPr>
        <w:tab/>
      </w:r>
      <w:r w:rsidR="002C3F5D" w:rsidRPr="00B138B1">
        <w:rPr>
          <w:b/>
        </w:rPr>
        <w:fldChar w:fldCharType="begin">
          <w:ffData>
            <w:name w:val="Check2"/>
            <w:enabled/>
            <w:calcOnExit w:val="0"/>
            <w:checkBox>
              <w:sizeAuto/>
              <w:default w:val="0"/>
            </w:checkBox>
          </w:ffData>
        </w:fldChar>
      </w:r>
      <w:r w:rsidR="002C3F5D" w:rsidRPr="00B138B1">
        <w:rPr>
          <w:b/>
        </w:rPr>
        <w:instrText xml:space="preserve"> FORMCHECKBOX </w:instrText>
      </w:r>
      <w:r w:rsidR="0084660B">
        <w:rPr>
          <w:b/>
        </w:rPr>
      </w:r>
      <w:r w:rsidR="0084660B">
        <w:rPr>
          <w:b/>
        </w:rPr>
        <w:fldChar w:fldCharType="separate"/>
      </w:r>
      <w:r w:rsidR="002C3F5D" w:rsidRPr="00B138B1">
        <w:rPr>
          <w:b/>
        </w:rPr>
        <w:fldChar w:fldCharType="end"/>
      </w:r>
      <w:r w:rsidR="002C3F5D" w:rsidRPr="00B138B1">
        <w:rPr>
          <w:b/>
        </w:rPr>
        <w:t xml:space="preserve"> Partially Met</w:t>
      </w:r>
      <w:r w:rsidR="002C3F5D" w:rsidRPr="00B138B1">
        <w:rPr>
          <w:b/>
        </w:rPr>
        <w:tab/>
      </w:r>
      <w:r w:rsidR="002C3F5D" w:rsidRPr="00B138B1">
        <w:rPr>
          <w:b/>
        </w:rPr>
        <w:fldChar w:fldCharType="begin">
          <w:ffData>
            <w:name w:val="Check3"/>
            <w:enabled/>
            <w:calcOnExit w:val="0"/>
            <w:checkBox>
              <w:sizeAuto/>
              <w:default w:val="0"/>
            </w:checkBox>
          </w:ffData>
        </w:fldChar>
      </w:r>
      <w:r w:rsidR="002C3F5D" w:rsidRPr="00B138B1">
        <w:rPr>
          <w:b/>
        </w:rPr>
        <w:instrText xml:space="preserve"> FORMCHECKBOX </w:instrText>
      </w:r>
      <w:r w:rsidR="0084660B">
        <w:rPr>
          <w:b/>
        </w:rPr>
      </w:r>
      <w:r w:rsidR="0084660B">
        <w:rPr>
          <w:b/>
        </w:rPr>
        <w:fldChar w:fldCharType="separate"/>
      </w:r>
      <w:r w:rsidR="002C3F5D" w:rsidRPr="00B138B1">
        <w:rPr>
          <w:b/>
        </w:rPr>
        <w:fldChar w:fldCharType="end"/>
      </w:r>
      <w:r w:rsidR="002C3F5D" w:rsidRPr="00B138B1">
        <w:rPr>
          <w:b/>
        </w:rPr>
        <w:t xml:space="preserve"> Not Met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E45C1E" w:rsidRPr="00D15C43" w14:paraId="739AAFFE" w14:textId="77777777" w:rsidTr="00D15C43">
        <w:tc>
          <w:tcPr>
            <w:tcW w:w="9016" w:type="dxa"/>
            <w:shd w:val="clear" w:color="auto" w:fill="F2F2F2" w:themeFill="background1" w:themeFillShade="F2"/>
          </w:tcPr>
          <w:p w14:paraId="66EED628" w14:textId="6D4BFC73" w:rsidR="00E45C1E" w:rsidRPr="00D15C43" w:rsidRDefault="00E45C1E" w:rsidP="00C3530A">
            <w:pPr>
              <w:rPr>
                <w:i/>
              </w:rPr>
            </w:pPr>
            <w:r w:rsidRPr="00D15C43">
              <w:rPr>
                <w:i/>
              </w:rPr>
              <w:t xml:space="preserve">NOPTA assesses that it has met KPI 6. </w:t>
            </w:r>
            <w:r w:rsidR="00914417">
              <w:rPr>
                <w:i/>
              </w:rPr>
              <w:t>This is</w:t>
            </w:r>
            <w:r w:rsidR="00914417" w:rsidRPr="00D15C43">
              <w:rPr>
                <w:i/>
              </w:rPr>
              <w:t xml:space="preserve"> </w:t>
            </w:r>
            <w:r w:rsidR="00914417">
              <w:rPr>
                <w:i/>
              </w:rPr>
              <w:t xml:space="preserve">evident through </w:t>
            </w:r>
            <w:r w:rsidR="00914417" w:rsidRPr="00914417">
              <w:rPr>
                <w:i/>
              </w:rPr>
              <w:t xml:space="preserve">a range of initiatives </w:t>
            </w:r>
            <w:r w:rsidR="005142AF">
              <w:rPr>
                <w:i/>
              </w:rPr>
              <w:t xml:space="preserve">undertaken and </w:t>
            </w:r>
            <w:r w:rsidR="00914417">
              <w:rPr>
                <w:i/>
              </w:rPr>
              <w:t xml:space="preserve">currently </w:t>
            </w:r>
            <w:r w:rsidR="00914417" w:rsidRPr="00914417">
              <w:rPr>
                <w:i/>
              </w:rPr>
              <w:t>underway to improv</w:t>
            </w:r>
            <w:r w:rsidR="005142AF">
              <w:rPr>
                <w:i/>
              </w:rPr>
              <w:t>e</w:t>
            </w:r>
            <w:r w:rsidR="00914417" w:rsidRPr="00914417">
              <w:rPr>
                <w:i/>
              </w:rPr>
              <w:t xml:space="preserve"> our administrative performance </w:t>
            </w:r>
            <w:r w:rsidR="00914417">
              <w:rPr>
                <w:i/>
              </w:rPr>
              <w:t xml:space="preserve">and </w:t>
            </w:r>
            <w:r w:rsidR="00914417" w:rsidRPr="00914417">
              <w:rPr>
                <w:i/>
              </w:rPr>
              <w:t>help address matters of strategic relevance to industry.</w:t>
            </w:r>
          </w:p>
        </w:tc>
      </w:tr>
    </w:tbl>
    <w:p w14:paraId="105E9FF5" w14:textId="77777777" w:rsidR="00E45C1E" w:rsidRPr="00772396" w:rsidRDefault="00E45C1E" w:rsidP="00C3530A">
      <w:pPr>
        <w:spacing w:after="0" w:line="240" w:lineRule="auto"/>
      </w:pPr>
    </w:p>
    <w:p w14:paraId="66D8EB2B" w14:textId="69DEA852" w:rsidR="005F38CE" w:rsidRPr="003514CC" w:rsidRDefault="005F38CE" w:rsidP="00C3530A">
      <w:pPr>
        <w:pStyle w:val="ListParagraph"/>
        <w:numPr>
          <w:ilvl w:val="0"/>
          <w:numId w:val="2"/>
        </w:numPr>
        <w:spacing w:before="0" w:after="120"/>
        <w:ind w:left="426" w:hanging="426"/>
        <w:contextualSpacing w:val="0"/>
        <w:rPr>
          <w:rFonts w:asciiTheme="minorHAnsi" w:hAnsiTheme="minorHAnsi"/>
          <w:color w:val="auto"/>
          <w:sz w:val="22"/>
          <w:szCs w:val="22"/>
        </w:rPr>
      </w:pPr>
      <w:r>
        <w:rPr>
          <w:rFonts w:asciiTheme="minorHAnsi" w:hAnsiTheme="minorHAnsi"/>
          <w:color w:val="auto"/>
          <w:sz w:val="22"/>
          <w:szCs w:val="22"/>
        </w:rPr>
        <w:t xml:space="preserve">To keep pace with global trends and advancements in regulatory approach, in 2019 NOPTA </w:t>
      </w:r>
      <w:r w:rsidR="00180D2A">
        <w:rPr>
          <w:rFonts w:asciiTheme="minorHAnsi" w:hAnsiTheme="minorHAnsi"/>
          <w:color w:val="auto"/>
          <w:sz w:val="22"/>
          <w:szCs w:val="22"/>
        </w:rPr>
        <w:t>participated</w:t>
      </w:r>
      <w:r w:rsidR="00180D2A" w:rsidRPr="003514CC">
        <w:rPr>
          <w:rFonts w:asciiTheme="minorHAnsi" w:hAnsiTheme="minorHAnsi"/>
          <w:color w:val="auto"/>
          <w:sz w:val="22"/>
          <w:szCs w:val="22"/>
        </w:rPr>
        <w:t xml:space="preserve"> </w:t>
      </w:r>
      <w:r w:rsidR="00A754D2">
        <w:rPr>
          <w:rFonts w:asciiTheme="minorHAnsi" w:hAnsiTheme="minorHAnsi"/>
          <w:color w:val="auto"/>
          <w:sz w:val="22"/>
          <w:szCs w:val="22"/>
        </w:rPr>
        <w:t xml:space="preserve">in </w:t>
      </w:r>
      <w:r w:rsidRPr="003514CC">
        <w:rPr>
          <w:rFonts w:asciiTheme="minorHAnsi" w:hAnsiTheme="minorHAnsi"/>
          <w:color w:val="auto"/>
          <w:sz w:val="22"/>
          <w:szCs w:val="22"/>
        </w:rPr>
        <w:t>a skills exchange with United Kingdom and Norwegian petroleum regulators focussed on best practice and innovation in resource management and data management.</w:t>
      </w:r>
    </w:p>
    <w:p w14:paraId="4C9C7EDA" w14:textId="41811430" w:rsidR="00817F72" w:rsidRDefault="00BC267B" w:rsidP="00C3530A">
      <w:pPr>
        <w:pStyle w:val="ListParagraph"/>
        <w:numPr>
          <w:ilvl w:val="0"/>
          <w:numId w:val="2"/>
        </w:numPr>
        <w:spacing w:before="0" w:after="120"/>
        <w:ind w:left="426" w:hanging="426"/>
        <w:contextualSpacing w:val="0"/>
        <w:rPr>
          <w:rFonts w:asciiTheme="minorHAnsi" w:hAnsiTheme="minorHAnsi"/>
          <w:color w:val="auto"/>
          <w:sz w:val="22"/>
          <w:szCs w:val="22"/>
        </w:rPr>
      </w:pPr>
      <w:r>
        <w:rPr>
          <w:rFonts w:asciiTheme="minorHAnsi" w:hAnsiTheme="minorHAnsi"/>
          <w:color w:val="auto"/>
          <w:sz w:val="22"/>
          <w:szCs w:val="22"/>
        </w:rPr>
        <w:t xml:space="preserve">93 per cent of </w:t>
      </w:r>
      <w:r w:rsidR="00E06226">
        <w:rPr>
          <w:rFonts w:asciiTheme="minorHAnsi" w:hAnsiTheme="minorHAnsi"/>
          <w:color w:val="auto"/>
          <w:sz w:val="22"/>
          <w:szCs w:val="22"/>
        </w:rPr>
        <w:t>titleholders</w:t>
      </w:r>
      <w:r>
        <w:rPr>
          <w:rFonts w:asciiTheme="minorHAnsi" w:hAnsiTheme="minorHAnsi"/>
          <w:color w:val="auto"/>
          <w:sz w:val="22"/>
          <w:szCs w:val="22"/>
        </w:rPr>
        <w:t xml:space="preserve"> </w:t>
      </w:r>
      <w:r w:rsidR="005F38CE">
        <w:rPr>
          <w:rFonts w:asciiTheme="minorHAnsi" w:hAnsiTheme="minorHAnsi"/>
          <w:color w:val="auto"/>
          <w:sz w:val="22"/>
          <w:szCs w:val="22"/>
        </w:rPr>
        <w:t xml:space="preserve">to the survey </w:t>
      </w:r>
      <w:r>
        <w:rPr>
          <w:rFonts w:asciiTheme="minorHAnsi" w:hAnsiTheme="minorHAnsi"/>
          <w:color w:val="auto"/>
          <w:sz w:val="22"/>
          <w:szCs w:val="22"/>
        </w:rPr>
        <w:t>indicated that they were ‘</w:t>
      </w:r>
      <w:r w:rsidRPr="00817F72">
        <w:rPr>
          <w:rFonts w:asciiTheme="minorHAnsi" w:hAnsiTheme="minorHAnsi"/>
          <w:color w:val="auto"/>
          <w:sz w:val="22"/>
          <w:szCs w:val="22"/>
        </w:rPr>
        <w:t>very</w:t>
      </w:r>
      <w:r>
        <w:rPr>
          <w:rFonts w:asciiTheme="minorHAnsi" w:hAnsiTheme="minorHAnsi"/>
          <w:color w:val="auto"/>
          <w:sz w:val="22"/>
          <w:szCs w:val="22"/>
        </w:rPr>
        <w:t>’</w:t>
      </w:r>
      <w:r w:rsidRPr="00817F72">
        <w:rPr>
          <w:rFonts w:asciiTheme="minorHAnsi" w:hAnsiTheme="minorHAnsi"/>
          <w:color w:val="auto"/>
          <w:sz w:val="22"/>
          <w:szCs w:val="22"/>
        </w:rPr>
        <w:t xml:space="preserve"> or </w:t>
      </w:r>
      <w:r>
        <w:rPr>
          <w:rFonts w:asciiTheme="minorHAnsi" w:hAnsiTheme="minorHAnsi"/>
          <w:color w:val="auto"/>
          <w:sz w:val="22"/>
          <w:szCs w:val="22"/>
        </w:rPr>
        <w:t>‘</w:t>
      </w:r>
      <w:r w:rsidRPr="00817F72">
        <w:rPr>
          <w:rFonts w:asciiTheme="minorHAnsi" w:hAnsiTheme="minorHAnsi"/>
          <w:color w:val="auto"/>
          <w:sz w:val="22"/>
          <w:szCs w:val="22"/>
        </w:rPr>
        <w:t>somewhat</w:t>
      </w:r>
      <w:r w:rsidR="005F38CE">
        <w:rPr>
          <w:rFonts w:asciiTheme="minorHAnsi" w:hAnsiTheme="minorHAnsi"/>
          <w:color w:val="auto"/>
          <w:sz w:val="22"/>
          <w:szCs w:val="22"/>
        </w:rPr>
        <w:t>’</w:t>
      </w:r>
      <w:r w:rsidRPr="00817F72">
        <w:rPr>
          <w:rFonts w:asciiTheme="minorHAnsi" w:hAnsiTheme="minorHAnsi"/>
          <w:color w:val="auto"/>
          <w:sz w:val="22"/>
          <w:szCs w:val="22"/>
        </w:rPr>
        <w:t xml:space="preserve"> satisfied</w:t>
      </w:r>
      <w:r>
        <w:rPr>
          <w:rFonts w:asciiTheme="minorHAnsi" w:hAnsiTheme="minorHAnsi"/>
          <w:color w:val="auto"/>
          <w:sz w:val="22"/>
          <w:szCs w:val="22"/>
        </w:rPr>
        <w:t xml:space="preserve"> regarding the usefulness of NOPTA interaction in relation to</w:t>
      </w:r>
      <w:r w:rsidR="00817F72" w:rsidRPr="00817F72">
        <w:rPr>
          <w:rFonts w:asciiTheme="minorHAnsi" w:hAnsiTheme="minorHAnsi"/>
          <w:color w:val="auto"/>
          <w:sz w:val="22"/>
          <w:szCs w:val="22"/>
        </w:rPr>
        <w:t xml:space="preserve"> resource stewardship, including field performance, resource maturation, regional development plans, and benchmarking.</w:t>
      </w:r>
      <w:r w:rsidR="00817F72">
        <w:rPr>
          <w:rFonts w:asciiTheme="minorHAnsi" w:hAnsiTheme="minorHAnsi"/>
          <w:color w:val="auto"/>
          <w:sz w:val="22"/>
          <w:szCs w:val="22"/>
        </w:rPr>
        <w:t xml:space="preserve"> </w:t>
      </w:r>
    </w:p>
    <w:p w14:paraId="63F3C904" w14:textId="7E7A3572" w:rsidR="00655B4D" w:rsidRPr="00655B4D" w:rsidRDefault="00655B4D" w:rsidP="00C3530A">
      <w:pPr>
        <w:pStyle w:val="ListParagraph"/>
        <w:numPr>
          <w:ilvl w:val="0"/>
          <w:numId w:val="2"/>
        </w:numPr>
        <w:spacing w:before="0" w:after="120"/>
        <w:ind w:left="426" w:hanging="426"/>
        <w:contextualSpacing w:val="0"/>
        <w:rPr>
          <w:rFonts w:asciiTheme="minorHAnsi" w:hAnsiTheme="minorHAnsi"/>
          <w:color w:val="auto"/>
          <w:sz w:val="22"/>
          <w:szCs w:val="22"/>
        </w:rPr>
      </w:pPr>
      <w:r w:rsidRPr="00655B4D">
        <w:rPr>
          <w:rFonts w:asciiTheme="minorHAnsi" w:hAnsiTheme="minorHAnsi"/>
          <w:color w:val="auto"/>
          <w:sz w:val="22"/>
          <w:szCs w:val="22"/>
        </w:rPr>
        <w:t>NOPTA has commenced a project to benchmark all well and survey data and samples submitted since 1 January 2016. The results will allow for the objective comparison of stakeholder submissions in terms timeliness, completeness,</w:t>
      </w:r>
      <w:r w:rsidR="00A754D2">
        <w:rPr>
          <w:rFonts w:asciiTheme="minorHAnsi" w:hAnsiTheme="minorHAnsi"/>
          <w:color w:val="auto"/>
          <w:sz w:val="22"/>
          <w:szCs w:val="22"/>
        </w:rPr>
        <w:t xml:space="preserve"> and</w:t>
      </w:r>
      <w:r w:rsidRPr="00655B4D">
        <w:rPr>
          <w:rFonts w:asciiTheme="minorHAnsi" w:hAnsiTheme="minorHAnsi"/>
          <w:color w:val="auto"/>
          <w:sz w:val="22"/>
          <w:szCs w:val="22"/>
        </w:rPr>
        <w:t xml:space="preserve"> usability</w:t>
      </w:r>
      <w:r w:rsidR="00A754D2">
        <w:rPr>
          <w:rFonts w:asciiTheme="minorHAnsi" w:hAnsiTheme="minorHAnsi"/>
          <w:color w:val="auto"/>
          <w:sz w:val="22"/>
          <w:szCs w:val="22"/>
        </w:rPr>
        <w:t xml:space="preserve">. This process </w:t>
      </w:r>
      <w:r w:rsidR="009574E1">
        <w:rPr>
          <w:rFonts w:asciiTheme="minorHAnsi" w:hAnsiTheme="minorHAnsi"/>
          <w:color w:val="auto"/>
          <w:sz w:val="22"/>
          <w:szCs w:val="22"/>
        </w:rPr>
        <w:t xml:space="preserve">will </w:t>
      </w:r>
      <w:r w:rsidR="009574E1" w:rsidRPr="009574E1">
        <w:rPr>
          <w:rFonts w:asciiTheme="minorHAnsi" w:hAnsiTheme="minorHAnsi"/>
          <w:color w:val="auto"/>
          <w:sz w:val="22"/>
          <w:szCs w:val="22"/>
        </w:rPr>
        <w:t>inform regulatory development and future discussions with stakeholders on data submission issues</w:t>
      </w:r>
      <w:r w:rsidRPr="00655B4D">
        <w:rPr>
          <w:rFonts w:asciiTheme="minorHAnsi" w:hAnsiTheme="minorHAnsi"/>
          <w:color w:val="auto"/>
          <w:sz w:val="22"/>
          <w:szCs w:val="22"/>
        </w:rPr>
        <w:t xml:space="preserve">. </w:t>
      </w:r>
    </w:p>
    <w:p w14:paraId="24749D1E" w14:textId="40E17CCE" w:rsidR="002533B6" w:rsidRDefault="002533B6" w:rsidP="00C3530A">
      <w:pPr>
        <w:pStyle w:val="ListParagraph"/>
        <w:numPr>
          <w:ilvl w:val="0"/>
          <w:numId w:val="2"/>
        </w:numPr>
        <w:spacing w:before="0" w:after="120"/>
        <w:ind w:left="426" w:hanging="426"/>
        <w:contextualSpacing w:val="0"/>
        <w:rPr>
          <w:rFonts w:asciiTheme="minorHAnsi" w:hAnsiTheme="minorHAnsi"/>
          <w:color w:val="auto"/>
          <w:sz w:val="22"/>
          <w:szCs w:val="22"/>
        </w:rPr>
      </w:pPr>
      <w:r w:rsidRPr="002533B6">
        <w:rPr>
          <w:rFonts w:asciiTheme="minorHAnsi" w:hAnsiTheme="minorHAnsi"/>
          <w:color w:val="auto"/>
          <w:sz w:val="22"/>
          <w:szCs w:val="22"/>
        </w:rPr>
        <w:t>NOPTA, Geoscience Australia and WA DMIRS continue to collaborate on improvements to NOPIMS. Further enhancements are planned for the 2019-20 financial year.</w:t>
      </w:r>
    </w:p>
    <w:p w14:paraId="66C65D4F" w14:textId="4F6A8BF5" w:rsidR="00D51993" w:rsidRPr="0056757C" w:rsidRDefault="00D51993" w:rsidP="00D51993">
      <w:pPr>
        <w:pStyle w:val="ListParagraph"/>
        <w:numPr>
          <w:ilvl w:val="0"/>
          <w:numId w:val="2"/>
        </w:numPr>
        <w:spacing w:before="0" w:after="120"/>
        <w:ind w:left="426" w:hanging="426"/>
        <w:contextualSpacing w:val="0"/>
        <w:rPr>
          <w:rFonts w:asciiTheme="minorHAnsi" w:hAnsiTheme="minorHAnsi"/>
          <w:color w:val="auto"/>
          <w:sz w:val="22"/>
          <w:szCs w:val="22"/>
        </w:rPr>
      </w:pPr>
      <w:r>
        <w:rPr>
          <w:rFonts w:asciiTheme="minorHAnsi" w:hAnsiTheme="minorHAnsi"/>
          <w:color w:val="auto"/>
          <w:sz w:val="22"/>
          <w:szCs w:val="22"/>
        </w:rPr>
        <w:t xml:space="preserve">NOPTA continued to </w:t>
      </w:r>
      <w:r w:rsidRPr="0056757C">
        <w:rPr>
          <w:rFonts w:asciiTheme="minorHAnsi" w:hAnsiTheme="minorHAnsi"/>
          <w:color w:val="auto"/>
          <w:sz w:val="22"/>
          <w:szCs w:val="22"/>
        </w:rPr>
        <w:t>work closely with the National Offshore Petroleum Safety and Environmental Management Authority (NOPSEMA) on decommissioning matters associated with offshore oil and gas activities with a view to streamlining processes under the current offshore petroleum regime.  </w:t>
      </w:r>
    </w:p>
    <w:p w14:paraId="4D4EB9CB" w14:textId="03CB17A6" w:rsidR="000743C1" w:rsidRPr="000743C1" w:rsidRDefault="000743C1" w:rsidP="000743C1">
      <w:pPr>
        <w:pStyle w:val="ListParagraph"/>
        <w:numPr>
          <w:ilvl w:val="0"/>
          <w:numId w:val="2"/>
        </w:numPr>
        <w:spacing w:before="0" w:after="120"/>
        <w:ind w:left="426" w:hanging="426"/>
        <w:contextualSpacing w:val="0"/>
        <w:rPr>
          <w:rFonts w:asciiTheme="minorHAnsi" w:hAnsiTheme="minorHAnsi"/>
          <w:color w:val="auto"/>
          <w:sz w:val="22"/>
          <w:szCs w:val="22"/>
        </w:rPr>
      </w:pPr>
      <w:r w:rsidRPr="000743C1">
        <w:rPr>
          <w:rFonts w:asciiTheme="minorHAnsi" w:hAnsiTheme="minorHAnsi"/>
          <w:color w:val="auto"/>
          <w:sz w:val="22"/>
          <w:szCs w:val="22"/>
        </w:rPr>
        <w:t xml:space="preserve">During 2018-19 NOPTA participated in several cross-agency forums or events to discuss current and emerging issues, share ideas and implement improvement strategies in line with leading </w:t>
      </w:r>
      <w:r w:rsidRPr="000743C1">
        <w:rPr>
          <w:rFonts w:asciiTheme="minorHAnsi" w:hAnsiTheme="minorHAnsi"/>
          <w:color w:val="auto"/>
          <w:sz w:val="22"/>
          <w:szCs w:val="22"/>
        </w:rPr>
        <w:lastRenderedPageBreak/>
        <w:t>practice, and worked closely with relevant government agencies to publish new and updated guidance material (See KPI 1 and KPI</w:t>
      </w:r>
      <w:r w:rsidR="00D51993">
        <w:rPr>
          <w:rFonts w:asciiTheme="minorHAnsi" w:hAnsiTheme="minorHAnsi"/>
          <w:color w:val="auto"/>
          <w:sz w:val="22"/>
          <w:szCs w:val="22"/>
        </w:rPr>
        <w:t>2</w:t>
      </w:r>
      <w:r w:rsidRPr="000743C1">
        <w:rPr>
          <w:rFonts w:asciiTheme="minorHAnsi" w:hAnsiTheme="minorHAnsi"/>
          <w:color w:val="auto"/>
          <w:sz w:val="22"/>
          <w:szCs w:val="22"/>
        </w:rPr>
        <w:t>).</w:t>
      </w:r>
    </w:p>
    <w:p w14:paraId="115B2639" w14:textId="09A69D26" w:rsidR="002533B6" w:rsidRPr="0084660B" w:rsidRDefault="00D83DAC" w:rsidP="00C3530A">
      <w:pPr>
        <w:pStyle w:val="ListParagraph"/>
        <w:numPr>
          <w:ilvl w:val="0"/>
          <w:numId w:val="2"/>
        </w:numPr>
        <w:spacing w:before="0" w:after="120"/>
        <w:ind w:left="426" w:hanging="426"/>
        <w:contextualSpacing w:val="0"/>
        <w:rPr>
          <w:rFonts w:cs="Arial"/>
          <w:lang w:val="en"/>
        </w:rPr>
      </w:pPr>
      <w:r w:rsidRPr="000825A1">
        <w:rPr>
          <w:rFonts w:ascii="Calibri" w:hAnsi="Calibri" w:cs="Calibri"/>
          <w:color w:val="000000"/>
          <w:sz w:val="22"/>
          <w:szCs w:val="22"/>
        </w:rPr>
        <w:t>NOPTA has a dedicated feedback email (</w:t>
      </w:r>
      <w:hyperlink r:id="rId27" w:history="1">
        <w:r w:rsidR="006352F3" w:rsidRPr="00C30331">
          <w:rPr>
            <w:rStyle w:val="Hyperlink"/>
            <w:rFonts w:ascii="Calibri" w:hAnsi="Calibri" w:cs="Calibri"/>
            <w:sz w:val="22"/>
            <w:szCs w:val="22"/>
          </w:rPr>
          <w:t>feedback@nopta.gov.au</w:t>
        </w:r>
      </w:hyperlink>
      <w:r w:rsidRPr="000825A1">
        <w:rPr>
          <w:rFonts w:ascii="Calibri" w:hAnsi="Calibri" w:cs="Calibri"/>
          <w:color w:val="000000"/>
          <w:sz w:val="22"/>
          <w:szCs w:val="22"/>
        </w:rPr>
        <w:t xml:space="preserve">) located on its website (see KPI 3). </w:t>
      </w:r>
    </w:p>
    <w:p w14:paraId="57E76596" w14:textId="77777777" w:rsidR="0084660B" w:rsidRPr="00C96D51" w:rsidRDefault="0084660B" w:rsidP="0084660B">
      <w:pPr>
        <w:pStyle w:val="ListParagraph"/>
        <w:spacing w:before="0" w:after="120"/>
        <w:ind w:left="426"/>
        <w:contextualSpacing w:val="0"/>
        <w:rPr>
          <w:rFonts w:cs="Arial"/>
          <w:lang w:val="en"/>
        </w:rPr>
      </w:pPr>
    </w:p>
    <w:p w14:paraId="0361164C" w14:textId="122B7C40" w:rsidR="00C96D51" w:rsidRDefault="00C96D51" w:rsidP="00C96D51">
      <w:pPr>
        <w:pBdr>
          <w:bottom w:val="single" w:sz="12" w:space="1" w:color="auto"/>
        </w:pBdr>
        <w:spacing w:after="120"/>
        <w:rPr>
          <w:rFonts w:cs="Arial"/>
          <w:lang w:val="en"/>
        </w:rPr>
      </w:pPr>
    </w:p>
    <w:p w14:paraId="6D8037C4" w14:textId="6AE85B3A" w:rsidR="0084660B" w:rsidRDefault="0084660B" w:rsidP="00C96D51">
      <w:pPr>
        <w:spacing w:after="120"/>
        <w:rPr>
          <w:rFonts w:cs="Arial"/>
          <w:lang w:val="en"/>
        </w:rPr>
      </w:pPr>
    </w:p>
    <w:p w14:paraId="3B7B1D14" w14:textId="77777777" w:rsidR="0084660B" w:rsidRPr="0084660B" w:rsidRDefault="0084660B" w:rsidP="0084660B">
      <w:pPr>
        <w:pStyle w:val="Heading2"/>
        <w:jc w:val="left"/>
        <w:rPr>
          <w:color w:val="1F4E79" w:themeColor="accent1" w:themeShade="80"/>
        </w:rPr>
      </w:pPr>
      <w:bookmarkStart w:id="61" w:name="_Toc528835752"/>
      <w:bookmarkStart w:id="62" w:name="_Toc20813197"/>
      <w:r w:rsidRPr="0084660B">
        <w:rPr>
          <w:color w:val="1F4E79" w:themeColor="accent1" w:themeShade="80"/>
        </w:rPr>
        <w:t>External Validation Comments</w:t>
      </w:r>
      <w:bookmarkEnd w:id="61"/>
      <w:bookmarkEnd w:id="62"/>
      <w:r w:rsidRPr="0084660B">
        <w:rPr>
          <w:color w:val="1F4E79" w:themeColor="accent1" w:themeShade="80"/>
        </w:rPr>
        <w:t xml:space="preserve"> </w:t>
      </w:r>
    </w:p>
    <w:p w14:paraId="7D176180" w14:textId="2DC2B8AD" w:rsidR="0084660B" w:rsidRDefault="0084660B" w:rsidP="0084660B">
      <w:pPr>
        <w:spacing w:after="0" w:line="240" w:lineRule="auto"/>
      </w:pPr>
      <w:r>
        <w:t>The Industry Growth Centres Advisory Committee (GCAC) is NOPTA’s independent validating body for the self-assessment against the six KPIs of the RPF. GCAC provided unconditional support of this self</w:t>
      </w:r>
      <w:r>
        <w:noBreakHyphen/>
      </w:r>
      <w:r>
        <w:t>assessment report. The following comments were provided:</w:t>
      </w:r>
    </w:p>
    <w:p w14:paraId="78BB10A9" w14:textId="77777777" w:rsidR="0084660B" w:rsidRPr="0084660B" w:rsidRDefault="0084660B" w:rsidP="0084660B">
      <w:pPr>
        <w:spacing w:after="0" w:line="240" w:lineRule="auto"/>
        <w:rPr>
          <w:rFonts w:cs="Arial"/>
          <w:b/>
          <w:bCs/>
          <w:lang w:val="en"/>
        </w:rPr>
      </w:pPr>
    </w:p>
    <w:p w14:paraId="48F26FB1" w14:textId="295A1976" w:rsidR="0084660B" w:rsidRDefault="0084660B" w:rsidP="0084660B">
      <w:pPr>
        <w:spacing w:after="0" w:line="240" w:lineRule="auto"/>
        <w:rPr>
          <w:rFonts w:cstheme="minorHAnsi"/>
          <w:b/>
          <w:bCs/>
          <w:i/>
        </w:rPr>
      </w:pPr>
      <w:r w:rsidRPr="0084660B">
        <w:rPr>
          <w:rFonts w:cstheme="minorHAnsi"/>
          <w:b/>
          <w:i/>
        </w:rPr>
        <w:t>GCAC comments</w:t>
      </w:r>
      <w:r>
        <w:rPr>
          <w:rFonts w:cstheme="minorHAnsi"/>
          <w:b/>
          <w:i/>
        </w:rPr>
        <w:t>:</w:t>
      </w:r>
      <w:r w:rsidRPr="0084660B">
        <w:rPr>
          <w:rFonts w:cstheme="minorHAnsi"/>
          <w:b/>
          <w:i/>
        </w:rPr>
        <w:t xml:space="preserve"> </w:t>
      </w:r>
      <w:r w:rsidRPr="0084660B">
        <w:rPr>
          <w:rFonts w:cstheme="minorHAnsi"/>
          <w:b/>
          <w:bCs/>
          <w:i/>
        </w:rPr>
        <w:t>NOPTA 201</w:t>
      </w:r>
      <w:r>
        <w:rPr>
          <w:rFonts w:cstheme="minorHAnsi"/>
          <w:b/>
          <w:bCs/>
          <w:i/>
        </w:rPr>
        <w:t>8-19</w:t>
      </w:r>
      <w:r w:rsidRPr="0084660B">
        <w:rPr>
          <w:rFonts w:cstheme="minorHAnsi"/>
          <w:b/>
          <w:bCs/>
          <w:i/>
        </w:rPr>
        <w:t xml:space="preserve"> self-assessment</w:t>
      </w:r>
    </w:p>
    <w:p w14:paraId="008F7B78" w14:textId="77777777" w:rsidR="0084660B" w:rsidRPr="0084660B" w:rsidRDefault="0084660B" w:rsidP="0084660B">
      <w:pPr>
        <w:spacing w:after="0" w:line="240" w:lineRule="auto"/>
        <w:rPr>
          <w:rFonts w:cstheme="minorHAnsi"/>
          <w:b/>
          <w:bCs/>
          <w:i/>
        </w:rPr>
      </w:pPr>
    </w:p>
    <w:p w14:paraId="640EBC32" w14:textId="77777777" w:rsidR="0084660B" w:rsidRPr="0084660B" w:rsidRDefault="0084660B" w:rsidP="0084660B">
      <w:pPr>
        <w:pStyle w:val="Default"/>
        <w:jc w:val="both"/>
        <w:rPr>
          <w:rFonts w:asciiTheme="minorHAnsi" w:hAnsiTheme="minorHAnsi" w:cstheme="minorHAnsi"/>
          <w:i/>
          <w:iCs/>
          <w:color w:val="auto"/>
          <w:sz w:val="22"/>
          <w:szCs w:val="22"/>
        </w:rPr>
      </w:pPr>
      <w:r w:rsidRPr="0084660B">
        <w:rPr>
          <w:rFonts w:asciiTheme="minorHAnsi" w:hAnsiTheme="minorHAnsi" w:cstheme="minorHAnsi"/>
          <w:i/>
          <w:iCs/>
          <w:color w:val="auto"/>
          <w:sz w:val="22"/>
          <w:szCs w:val="22"/>
        </w:rPr>
        <w:t xml:space="preserve">The key purpose of the RPF is to improve regulator’s performance by being publicly accountable in demonstrating effective management of risk. The framework consists of six outcomes-based KPIs covering reducing regulatory burden, communications, risk-based and proportionate approaches, efficient and coordinated monitoring, transparency, and continuous improvement. Overall, NOPTA’s self- assessment is a positive reflection that it has implemented the RPF and met its six KPI’s. </w:t>
      </w:r>
    </w:p>
    <w:p w14:paraId="2456BED4" w14:textId="77777777" w:rsidR="0084660B" w:rsidRPr="0084660B" w:rsidRDefault="0084660B" w:rsidP="0084660B">
      <w:pPr>
        <w:pStyle w:val="Default"/>
        <w:jc w:val="both"/>
        <w:rPr>
          <w:rFonts w:asciiTheme="minorHAnsi" w:hAnsiTheme="minorHAnsi" w:cstheme="minorHAnsi"/>
          <w:i/>
          <w:iCs/>
          <w:color w:val="auto"/>
          <w:sz w:val="22"/>
          <w:szCs w:val="22"/>
        </w:rPr>
      </w:pPr>
    </w:p>
    <w:p w14:paraId="2EE39DBD" w14:textId="77777777" w:rsidR="0084660B" w:rsidRPr="0084660B" w:rsidRDefault="0084660B" w:rsidP="0084660B">
      <w:pPr>
        <w:pStyle w:val="Default"/>
        <w:jc w:val="both"/>
        <w:rPr>
          <w:rFonts w:asciiTheme="minorHAnsi" w:hAnsiTheme="minorHAnsi" w:cstheme="minorHAnsi"/>
          <w:i/>
          <w:iCs/>
          <w:color w:val="auto"/>
          <w:sz w:val="22"/>
          <w:szCs w:val="22"/>
        </w:rPr>
      </w:pPr>
      <w:r w:rsidRPr="0084660B">
        <w:rPr>
          <w:rFonts w:asciiTheme="minorHAnsi" w:hAnsiTheme="minorHAnsi" w:cstheme="minorHAnsi"/>
          <w:i/>
          <w:iCs/>
          <w:color w:val="auto"/>
          <w:sz w:val="22"/>
          <w:szCs w:val="22"/>
        </w:rPr>
        <w:t xml:space="preserve">NOPTA’s purpose is to advise on and administer the OPGGS Act for Australia's offshore petroleum and greenhouse gas titles regime, and to support the effective regulation of Australia's offshore oil and gas resources consistent with good oil field practice and optimum long-term recovery. </w:t>
      </w:r>
    </w:p>
    <w:p w14:paraId="6D272384" w14:textId="77777777" w:rsidR="0084660B" w:rsidRPr="0084660B" w:rsidRDefault="0084660B" w:rsidP="0084660B">
      <w:pPr>
        <w:pStyle w:val="Default"/>
        <w:jc w:val="both"/>
        <w:rPr>
          <w:rFonts w:asciiTheme="minorHAnsi" w:hAnsiTheme="minorHAnsi" w:cstheme="minorHAnsi"/>
          <w:i/>
          <w:iCs/>
          <w:color w:val="auto"/>
          <w:sz w:val="22"/>
          <w:szCs w:val="22"/>
        </w:rPr>
      </w:pPr>
    </w:p>
    <w:p w14:paraId="118A6037" w14:textId="77777777" w:rsidR="0084660B" w:rsidRPr="0084660B" w:rsidRDefault="0084660B" w:rsidP="0084660B">
      <w:pPr>
        <w:pStyle w:val="Default"/>
        <w:jc w:val="both"/>
        <w:rPr>
          <w:rFonts w:asciiTheme="minorHAnsi" w:hAnsiTheme="minorHAnsi" w:cstheme="minorHAnsi"/>
          <w:i/>
          <w:iCs/>
          <w:color w:val="auto"/>
          <w:sz w:val="22"/>
          <w:szCs w:val="22"/>
        </w:rPr>
      </w:pPr>
      <w:r w:rsidRPr="0084660B">
        <w:rPr>
          <w:rFonts w:asciiTheme="minorHAnsi" w:hAnsiTheme="minorHAnsi" w:cstheme="minorHAnsi"/>
          <w:i/>
          <w:iCs/>
          <w:color w:val="auto"/>
          <w:sz w:val="22"/>
          <w:szCs w:val="22"/>
        </w:rPr>
        <w:t>NOPTA analyse data and information to inform resource management, encourage greater collaboration and efficiency within industry to drive optimum resource development and efficiently regulate the offshore titles in accordance with the OPGGS Act.</w:t>
      </w:r>
    </w:p>
    <w:p w14:paraId="0499C8C5" w14:textId="77777777" w:rsidR="0084660B" w:rsidRPr="0084660B" w:rsidRDefault="0084660B" w:rsidP="0084660B">
      <w:pPr>
        <w:pStyle w:val="Default"/>
        <w:jc w:val="both"/>
        <w:rPr>
          <w:rFonts w:asciiTheme="minorHAnsi" w:hAnsiTheme="minorHAnsi" w:cstheme="minorHAnsi"/>
          <w:i/>
          <w:iCs/>
          <w:color w:val="auto"/>
          <w:sz w:val="22"/>
          <w:szCs w:val="22"/>
        </w:rPr>
      </w:pPr>
      <w:bookmarkStart w:id="63" w:name="_GoBack"/>
      <w:bookmarkEnd w:id="63"/>
    </w:p>
    <w:p w14:paraId="1AB7D62E" w14:textId="77777777" w:rsidR="0084660B" w:rsidRPr="0084660B" w:rsidRDefault="0084660B" w:rsidP="0084660B">
      <w:pPr>
        <w:pStyle w:val="Default"/>
        <w:jc w:val="both"/>
        <w:rPr>
          <w:rFonts w:asciiTheme="minorHAnsi" w:hAnsiTheme="minorHAnsi" w:cstheme="minorHAnsi"/>
          <w:i/>
          <w:iCs/>
          <w:color w:val="auto"/>
          <w:sz w:val="22"/>
          <w:szCs w:val="22"/>
        </w:rPr>
      </w:pPr>
      <w:r w:rsidRPr="0084660B">
        <w:rPr>
          <w:rFonts w:asciiTheme="minorHAnsi" w:hAnsiTheme="minorHAnsi" w:cstheme="minorHAnsi"/>
          <w:i/>
          <w:iCs/>
          <w:color w:val="auto"/>
          <w:sz w:val="22"/>
          <w:szCs w:val="22"/>
        </w:rPr>
        <w:t>There is a formal mechanism in place for regulated entities to provide feedback on NOPTA’s performance. The quarterly dashboard report provides aggregate key performance statistics relating to application processing timeframes, data management and financials. NOPTA manage 381 offshore petroleum titles and 4 greenhouse gas titles and conducted 221 stakeholder meetings.</w:t>
      </w:r>
    </w:p>
    <w:p w14:paraId="19A0676C" w14:textId="77777777" w:rsidR="0084660B" w:rsidRPr="0084660B" w:rsidRDefault="0084660B" w:rsidP="0084660B">
      <w:pPr>
        <w:spacing w:after="0" w:line="240" w:lineRule="auto"/>
        <w:jc w:val="both"/>
        <w:rPr>
          <w:rFonts w:cstheme="minorHAnsi"/>
          <w:i/>
          <w:iCs/>
        </w:rPr>
      </w:pPr>
    </w:p>
    <w:p w14:paraId="39AC635D" w14:textId="77777777" w:rsidR="0084660B" w:rsidRPr="0084660B" w:rsidRDefault="0084660B" w:rsidP="0084660B">
      <w:pPr>
        <w:spacing w:after="0" w:line="240" w:lineRule="auto"/>
        <w:jc w:val="both"/>
        <w:rPr>
          <w:rFonts w:cstheme="minorHAnsi"/>
          <w:i/>
          <w:iCs/>
        </w:rPr>
      </w:pPr>
      <w:r w:rsidRPr="0084660B">
        <w:rPr>
          <w:rFonts w:cstheme="minorHAnsi"/>
          <w:i/>
          <w:iCs/>
        </w:rPr>
        <w:t xml:space="preserve">NOPTA’s self-assessment is comprehensive and based on positive feedback received in a stakeholder survey. The 2019 survey respondents included titleholders, industry groups and government stakeholders. Stakeholders reported high levels of satisfaction across the areas of communication, processes, function and regulation. </w:t>
      </w:r>
    </w:p>
    <w:p w14:paraId="256CCB6A" w14:textId="77777777" w:rsidR="0084660B" w:rsidRPr="0084660B" w:rsidRDefault="0084660B" w:rsidP="0084660B">
      <w:pPr>
        <w:spacing w:after="0" w:line="240" w:lineRule="auto"/>
        <w:jc w:val="both"/>
        <w:rPr>
          <w:rFonts w:cstheme="minorHAnsi"/>
          <w:i/>
          <w:iCs/>
        </w:rPr>
      </w:pPr>
    </w:p>
    <w:p w14:paraId="59C4792C" w14:textId="77777777" w:rsidR="0084660B" w:rsidRPr="0084660B" w:rsidRDefault="0084660B" w:rsidP="0084660B">
      <w:pPr>
        <w:spacing w:after="0" w:line="240" w:lineRule="auto"/>
        <w:rPr>
          <w:rFonts w:cstheme="minorHAnsi"/>
          <w:i/>
          <w:iCs/>
        </w:rPr>
      </w:pPr>
      <w:r w:rsidRPr="0084660B">
        <w:rPr>
          <w:rFonts w:cstheme="minorHAnsi"/>
          <w:i/>
          <w:iCs/>
        </w:rPr>
        <w:t>NOPTA communicates effectively with NOPSEMA to address emerging issues such as new entrants to industry, late field life financial transactions and asset decommissioning with a view to streamlining processes under the current offshore petroleum regime.</w:t>
      </w:r>
    </w:p>
    <w:p w14:paraId="61697AC1" w14:textId="77777777" w:rsidR="0084660B" w:rsidRPr="0084660B" w:rsidRDefault="0084660B" w:rsidP="0084660B">
      <w:pPr>
        <w:spacing w:after="0" w:line="240" w:lineRule="auto"/>
        <w:rPr>
          <w:rFonts w:cstheme="minorHAnsi"/>
          <w:i/>
          <w:iCs/>
        </w:rPr>
      </w:pPr>
    </w:p>
    <w:p w14:paraId="26971BED" w14:textId="77777777" w:rsidR="0084660B" w:rsidRPr="0084660B" w:rsidRDefault="0084660B" w:rsidP="0084660B">
      <w:pPr>
        <w:pStyle w:val="ListParagraph"/>
        <w:numPr>
          <w:ilvl w:val="0"/>
          <w:numId w:val="66"/>
        </w:numPr>
        <w:spacing w:before="0" w:after="0"/>
        <w:contextualSpacing w:val="0"/>
        <w:jc w:val="both"/>
        <w:rPr>
          <w:rFonts w:asciiTheme="minorHAnsi" w:hAnsiTheme="minorHAnsi" w:cstheme="minorHAnsi"/>
          <w:i/>
          <w:iCs/>
          <w:color w:val="auto"/>
          <w:sz w:val="22"/>
          <w:szCs w:val="22"/>
        </w:rPr>
      </w:pPr>
      <w:r w:rsidRPr="0084660B">
        <w:rPr>
          <w:rFonts w:asciiTheme="minorHAnsi" w:hAnsiTheme="minorHAnsi" w:cstheme="minorHAnsi"/>
          <w:i/>
          <w:iCs/>
          <w:color w:val="auto"/>
          <w:sz w:val="22"/>
          <w:szCs w:val="22"/>
        </w:rPr>
        <w:t>NOPTA does not unnecessarily impede efficient activities of regulated entities;</w:t>
      </w:r>
    </w:p>
    <w:p w14:paraId="0E171676" w14:textId="77777777" w:rsidR="0084660B" w:rsidRPr="0084660B" w:rsidRDefault="0084660B" w:rsidP="0084660B">
      <w:pPr>
        <w:pStyle w:val="ListParagraph"/>
        <w:numPr>
          <w:ilvl w:val="0"/>
          <w:numId w:val="66"/>
        </w:numPr>
        <w:spacing w:before="0" w:after="0"/>
        <w:contextualSpacing w:val="0"/>
        <w:jc w:val="both"/>
        <w:rPr>
          <w:rFonts w:asciiTheme="minorHAnsi" w:hAnsiTheme="minorHAnsi" w:cstheme="minorHAnsi"/>
          <w:i/>
          <w:iCs/>
          <w:color w:val="auto"/>
          <w:sz w:val="22"/>
          <w:szCs w:val="22"/>
        </w:rPr>
      </w:pPr>
      <w:r w:rsidRPr="0084660B">
        <w:rPr>
          <w:rFonts w:asciiTheme="minorHAnsi" w:hAnsiTheme="minorHAnsi" w:cstheme="minorHAnsi"/>
          <w:i/>
          <w:iCs/>
          <w:color w:val="auto"/>
          <w:sz w:val="22"/>
          <w:szCs w:val="22"/>
        </w:rPr>
        <w:t>NOPTA’s communication is clear, targeted and effective;</w:t>
      </w:r>
    </w:p>
    <w:p w14:paraId="26C56BA9" w14:textId="77777777" w:rsidR="0084660B" w:rsidRPr="0084660B" w:rsidRDefault="0084660B" w:rsidP="0084660B">
      <w:pPr>
        <w:pStyle w:val="ListParagraph"/>
        <w:numPr>
          <w:ilvl w:val="0"/>
          <w:numId w:val="66"/>
        </w:numPr>
        <w:spacing w:before="0" w:after="0"/>
        <w:contextualSpacing w:val="0"/>
        <w:jc w:val="both"/>
        <w:rPr>
          <w:rFonts w:asciiTheme="minorHAnsi" w:hAnsiTheme="minorHAnsi" w:cstheme="minorHAnsi"/>
          <w:i/>
          <w:iCs/>
          <w:color w:val="auto"/>
          <w:sz w:val="22"/>
          <w:szCs w:val="22"/>
        </w:rPr>
      </w:pPr>
      <w:r w:rsidRPr="0084660B">
        <w:rPr>
          <w:rFonts w:asciiTheme="minorHAnsi" w:hAnsiTheme="minorHAnsi" w:cstheme="minorHAnsi"/>
          <w:i/>
          <w:iCs/>
          <w:color w:val="auto"/>
          <w:sz w:val="22"/>
          <w:szCs w:val="22"/>
        </w:rPr>
        <w:t>NOPTA’s actions are proportionate to the regulatory risk being managed;</w:t>
      </w:r>
    </w:p>
    <w:p w14:paraId="7EBFEE1C" w14:textId="77777777" w:rsidR="0084660B" w:rsidRPr="0084660B" w:rsidRDefault="0084660B" w:rsidP="0084660B">
      <w:pPr>
        <w:pStyle w:val="ListParagraph"/>
        <w:numPr>
          <w:ilvl w:val="0"/>
          <w:numId w:val="66"/>
        </w:numPr>
        <w:spacing w:before="0" w:after="0"/>
        <w:contextualSpacing w:val="0"/>
        <w:jc w:val="both"/>
        <w:rPr>
          <w:rFonts w:asciiTheme="minorHAnsi" w:hAnsiTheme="minorHAnsi" w:cstheme="minorHAnsi"/>
          <w:i/>
          <w:iCs/>
          <w:color w:val="auto"/>
          <w:sz w:val="22"/>
          <w:szCs w:val="22"/>
        </w:rPr>
      </w:pPr>
      <w:r w:rsidRPr="0084660B">
        <w:rPr>
          <w:rFonts w:asciiTheme="minorHAnsi" w:hAnsiTheme="minorHAnsi" w:cstheme="minorHAnsi"/>
          <w:i/>
          <w:iCs/>
          <w:color w:val="auto"/>
          <w:sz w:val="22"/>
          <w:szCs w:val="22"/>
        </w:rPr>
        <w:t>NOPTA’s dealings are open and transparent with Titleholders. Two areas of potential improvement are to provide greater transparency to industry on the management of good standing agreements and to be more transparent on prospective fee increases;</w:t>
      </w:r>
    </w:p>
    <w:p w14:paraId="241E9F76" w14:textId="77777777" w:rsidR="0084660B" w:rsidRPr="0084660B" w:rsidRDefault="0084660B" w:rsidP="0084660B">
      <w:pPr>
        <w:pStyle w:val="ListParagraph"/>
        <w:numPr>
          <w:ilvl w:val="0"/>
          <w:numId w:val="66"/>
        </w:numPr>
        <w:spacing w:before="0" w:after="0"/>
        <w:contextualSpacing w:val="0"/>
        <w:jc w:val="both"/>
        <w:rPr>
          <w:rFonts w:asciiTheme="minorHAnsi" w:hAnsiTheme="minorHAnsi" w:cstheme="minorHAnsi"/>
          <w:i/>
          <w:iCs/>
          <w:color w:val="auto"/>
          <w:sz w:val="22"/>
          <w:szCs w:val="22"/>
        </w:rPr>
      </w:pPr>
      <w:r w:rsidRPr="0084660B">
        <w:rPr>
          <w:rFonts w:asciiTheme="minorHAnsi" w:hAnsiTheme="minorHAnsi" w:cstheme="minorHAnsi"/>
          <w:i/>
          <w:iCs/>
          <w:color w:val="auto"/>
          <w:sz w:val="22"/>
          <w:szCs w:val="22"/>
        </w:rPr>
        <w:lastRenderedPageBreak/>
        <w:t xml:space="preserve">NOPTA actively contributes to continuous improvement-data management, Retention Lease management, field resource management and comparative benchmarking, basin wide developments and commerciality reviews, shared infrastructure and end of field life management business models; </w:t>
      </w:r>
    </w:p>
    <w:p w14:paraId="45D82BF0" w14:textId="77777777" w:rsidR="0084660B" w:rsidRPr="0084660B" w:rsidRDefault="0084660B" w:rsidP="0084660B">
      <w:pPr>
        <w:pStyle w:val="ListParagraph"/>
        <w:numPr>
          <w:ilvl w:val="0"/>
          <w:numId w:val="66"/>
        </w:numPr>
        <w:spacing w:before="0" w:after="0"/>
        <w:contextualSpacing w:val="0"/>
        <w:jc w:val="both"/>
        <w:rPr>
          <w:rFonts w:asciiTheme="minorHAnsi" w:hAnsiTheme="minorHAnsi" w:cstheme="minorHAnsi"/>
          <w:i/>
          <w:iCs/>
          <w:color w:val="auto"/>
          <w:sz w:val="22"/>
          <w:szCs w:val="22"/>
        </w:rPr>
      </w:pPr>
      <w:r w:rsidRPr="0084660B">
        <w:rPr>
          <w:rFonts w:asciiTheme="minorHAnsi" w:hAnsiTheme="minorHAnsi" w:cstheme="minorHAnsi"/>
          <w:i/>
          <w:iCs/>
          <w:color w:val="auto"/>
          <w:sz w:val="22"/>
          <w:szCs w:val="22"/>
        </w:rPr>
        <w:t>NOPTA engages with international regulators to identify and implement best practices and commenced a skills exchange program with United Kingdom and Norwegian petroleum regulators focussed on best practice and innovation in resource management and data management;</w:t>
      </w:r>
    </w:p>
    <w:p w14:paraId="111A6743" w14:textId="77777777" w:rsidR="0084660B" w:rsidRPr="0084660B" w:rsidRDefault="0084660B" w:rsidP="0084660B">
      <w:pPr>
        <w:pStyle w:val="ListParagraph"/>
        <w:numPr>
          <w:ilvl w:val="0"/>
          <w:numId w:val="66"/>
        </w:numPr>
        <w:spacing w:before="0" w:after="0"/>
        <w:contextualSpacing w:val="0"/>
        <w:jc w:val="both"/>
        <w:rPr>
          <w:rFonts w:asciiTheme="minorHAnsi" w:hAnsiTheme="minorHAnsi" w:cstheme="minorHAnsi"/>
          <w:i/>
          <w:iCs/>
          <w:color w:val="auto"/>
          <w:sz w:val="22"/>
          <w:szCs w:val="22"/>
        </w:rPr>
      </w:pPr>
      <w:r w:rsidRPr="0084660B">
        <w:rPr>
          <w:rFonts w:asciiTheme="minorHAnsi" w:hAnsiTheme="minorHAnsi" w:cstheme="minorHAnsi"/>
          <w:i/>
          <w:iCs/>
          <w:color w:val="auto"/>
          <w:sz w:val="22"/>
          <w:szCs w:val="22"/>
        </w:rPr>
        <w:t>NOPTA continues to engage with titleholders on the optimum stewardship of late life resources;</w:t>
      </w:r>
    </w:p>
    <w:p w14:paraId="3CF83D59" w14:textId="77777777" w:rsidR="0084660B" w:rsidRPr="0084660B" w:rsidRDefault="0084660B" w:rsidP="0084660B">
      <w:pPr>
        <w:pStyle w:val="ListParagraph"/>
        <w:numPr>
          <w:ilvl w:val="0"/>
          <w:numId w:val="66"/>
        </w:numPr>
        <w:spacing w:before="0" w:after="0"/>
        <w:contextualSpacing w:val="0"/>
        <w:jc w:val="both"/>
        <w:rPr>
          <w:rFonts w:asciiTheme="minorHAnsi" w:hAnsiTheme="minorHAnsi" w:cstheme="minorHAnsi"/>
          <w:i/>
          <w:iCs/>
          <w:color w:val="auto"/>
          <w:sz w:val="22"/>
          <w:szCs w:val="22"/>
        </w:rPr>
      </w:pPr>
      <w:r w:rsidRPr="0084660B">
        <w:rPr>
          <w:rFonts w:asciiTheme="minorHAnsi" w:hAnsiTheme="minorHAnsi" w:cstheme="minorHAnsi"/>
          <w:i/>
          <w:iCs/>
          <w:color w:val="auto"/>
          <w:sz w:val="22"/>
          <w:szCs w:val="22"/>
        </w:rPr>
        <w:t>NOPTA continues to collaborate with other agencies to further develop the National Petroleum Information Management System.</w:t>
      </w:r>
    </w:p>
    <w:p w14:paraId="1A56482A" w14:textId="77777777" w:rsidR="0084660B" w:rsidRPr="0084660B" w:rsidRDefault="0084660B" w:rsidP="0084660B">
      <w:pPr>
        <w:pStyle w:val="ListParagraph"/>
        <w:spacing w:before="0" w:after="0"/>
        <w:contextualSpacing w:val="0"/>
        <w:jc w:val="both"/>
        <w:rPr>
          <w:rFonts w:asciiTheme="minorHAnsi" w:hAnsiTheme="minorHAnsi" w:cstheme="minorHAnsi"/>
          <w:i/>
          <w:iCs/>
          <w:color w:val="auto"/>
          <w:sz w:val="22"/>
          <w:szCs w:val="22"/>
        </w:rPr>
      </w:pPr>
    </w:p>
    <w:p w14:paraId="7B1B3C03" w14:textId="77777777" w:rsidR="0084660B" w:rsidRPr="0084660B" w:rsidRDefault="0084660B" w:rsidP="0084660B">
      <w:pPr>
        <w:spacing w:after="0" w:line="240" w:lineRule="auto"/>
        <w:jc w:val="both"/>
        <w:rPr>
          <w:rFonts w:cstheme="minorHAnsi"/>
          <w:i/>
          <w:iCs/>
        </w:rPr>
      </w:pPr>
      <w:r w:rsidRPr="0084660B">
        <w:rPr>
          <w:rFonts w:cstheme="minorHAnsi"/>
          <w:i/>
          <w:iCs/>
        </w:rPr>
        <w:t>NOPTA is an effective and pragmatic administrator, and the regulated entities strongly support NOPTA in its role administrating the OPGGS Act.</w:t>
      </w:r>
    </w:p>
    <w:p w14:paraId="6585CB09" w14:textId="77777777" w:rsidR="0056757C" w:rsidRPr="0084660B" w:rsidRDefault="0056757C" w:rsidP="000743C1">
      <w:pPr>
        <w:spacing w:after="120" w:line="240" w:lineRule="auto"/>
        <w:rPr>
          <w:rFonts w:cstheme="minorHAnsi"/>
          <w:i/>
          <w:iCs/>
        </w:rPr>
      </w:pPr>
    </w:p>
    <w:sectPr w:rsidR="0056757C" w:rsidRPr="0084660B" w:rsidSect="006352F3">
      <w:footerReference w:type="default" r:id="rId28"/>
      <w:pgSz w:w="11906" w:h="16838"/>
      <w:pgMar w:top="1418" w:right="1440" w:bottom="993"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B078F" w14:textId="77777777" w:rsidR="00A12717" w:rsidRDefault="00A12717" w:rsidP="00351ECA">
      <w:pPr>
        <w:spacing w:after="0" w:line="240" w:lineRule="auto"/>
      </w:pPr>
      <w:r>
        <w:separator/>
      </w:r>
    </w:p>
  </w:endnote>
  <w:endnote w:type="continuationSeparator" w:id="0">
    <w:p w14:paraId="5103F147" w14:textId="77777777" w:rsidR="00A12717" w:rsidRDefault="00A12717" w:rsidP="00351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o Sans Pro">
    <w:altName w:val="Cambria"/>
    <w:charset w:val="00"/>
    <w:family w:val="roman"/>
    <w:pitch w:val="variable"/>
    <w:sig w:usb0="00000003" w:usb1="00000000" w:usb2="00000000" w:usb3="00000000" w:csb0="00000001" w:csb1="00000000"/>
  </w:font>
  <w:font w:name="Univers 45 Ligh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C57BB" w14:textId="77777777" w:rsidR="0029685C" w:rsidRDefault="0029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D3781" w14:textId="0D8D44FC" w:rsidR="0029685C" w:rsidRDefault="0029685C">
    <w:pPr>
      <w:pStyle w:val="Footer"/>
      <w:pBdr>
        <w:top w:val="single" w:sz="4" w:space="1" w:color="D9D9D9" w:themeColor="background1" w:themeShade="D9"/>
      </w:pBdr>
      <w:jc w:val="right"/>
    </w:pPr>
  </w:p>
  <w:p w14:paraId="2977353E" w14:textId="77777777" w:rsidR="0029685C" w:rsidRDefault="002968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F157D" w14:textId="77777777" w:rsidR="0029685C" w:rsidRDefault="002968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278337"/>
      <w:docPartObj>
        <w:docPartGallery w:val="Page Numbers (Bottom of Page)"/>
        <w:docPartUnique/>
      </w:docPartObj>
    </w:sdtPr>
    <w:sdtEndPr>
      <w:rPr>
        <w:color w:val="7F7F7F" w:themeColor="background1" w:themeShade="7F"/>
        <w:spacing w:val="60"/>
      </w:rPr>
    </w:sdtEndPr>
    <w:sdtContent>
      <w:p w14:paraId="7BA23DCE" w14:textId="77777777" w:rsidR="0029685C" w:rsidRDefault="0029685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7</w:t>
        </w:r>
        <w:r>
          <w:rPr>
            <w:noProof/>
          </w:rPr>
          <w:fldChar w:fldCharType="end"/>
        </w:r>
        <w:r>
          <w:t xml:space="preserve"> | </w:t>
        </w:r>
        <w:r>
          <w:rPr>
            <w:color w:val="7F7F7F" w:themeColor="background1" w:themeShade="7F"/>
            <w:spacing w:val="60"/>
          </w:rPr>
          <w:t>Page</w:t>
        </w:r>
      </w:p>
    </w:sdtContent>
  </w:sdt>
  <w:p w14:paraId="1A2A01D2" w14:textId="77777777" w:rsidR="0029685C" w:rsidRDefault="0029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4169E" w14:textId="77777777" w:rsidR="00A12717" w:rsidRDefault="00A12717" w:rsidP="00351ECA">
      <w:pPr>
        <w:spacing w:after="0" w:line="240" w:lineRule="auto"/>
      </w:pPr>
      <w:r>
        <w:separator/>
      </w:r>
    </w:p>
  </w:footnote>
  <w:footnote w:type="continuationSeparator" w:id="0">
    <w:p w14:paraId="43A86C31" w14:textId="77777777" w:rsidR="00A12717" w:rsidRDefault="00A12717" w:rsidP="00351ECA">
      <w:pPr>
        <w:spacing w:after="0" w:line="240" w:lineRule="auto"/>
      </w:pPr>
      <w:r>
        <w:continuationSeparator/>
      </w:r>
    </w:p>
  </w:footnote>
  <w:footnote w:id="1">
    <w:p w14:paraId="3C9F9DB9" w14:textId="69D36692" w:rsidR="0029685C" w:rsidRDefault="0029685C">
      <w:pPr>
        <w:pStyle w:val="FootnoteText"/>
      </w:pPr>
      <w:r>
        <w:rPr>
          <w:rStyle w:val="FootnoteReference"/>
        </w:rPr>
        <w:footnoteRef/>
      </w:r>
      <w:r>
        <w:t xml:space="preserve"> The 2019 survey was conducted by KPMG. </w:t>
      </w:r>
    </w:p>
  </w:footnote>
  <w:footnote w:id="2">
    <w:p w14:paraId="2B1E430E" w14:textId="39291E7F" w:rsidR="009C48E4" w:rsidRPr="00FF432B" w:rsidRDefault="009C48E4" w:rsidP="009C48E4">
      <w:pPr>
        <w:spacing w:after="120"/>
      </w:pPr>
      <w:r>
        <w:rPr>
          <w:rStyle w:val="FootnoteReference"/>
        </w:rPr>
        <w:footnoteRef/>
      </w:r>
      <w:r>
        <w:t xml:space="preserve"> </w:t>
      </w:r>
      <w:r w:rsidRPr="00D51993">
        <w:rPr>
          <w:sz w:val="18"/>
          <w:szCs w:val="18"/>
        </w:rPr>
        <w:t>The </w:t>
      </w:r>
      <w:hyperlink r:id="rId1" w:history="1">
        <w:r w:rsidRPr="00D51993">
          <w:rPr>
            <w:sz w:val="18"/>
            <w:szCs w:val="18"/>
          </w:rPr>
          <w:t>Joint Authorities</w:t>
        </w:r>
      </w:hyperlink>
      <w:r w:rsidRPr="00D51993">
        <w:rPr>
          <w:sz w:val="18"/>
          <w:szCs w:val="18"/>
        </w:rPr>
        <w:t> are the decision-maker for the granting of the petroleum titles that underpin petroleum exploration and development—exploration permits, retention leases and production licenses. The Joint Authority for each state and the Northern Territory comprises the responsible Commonwealth Minister (currently the Minister for Resources and Northern Australia) and the relevant state or Northern Territory minister.</w:t>
      </w:r>
    </w:p>
    <w:p w14:paraId="46078FB0" w14:textId="0B432CE7" w:rsidR="009C48E4" w:rsidRDefault="009C48E4">
      <w:pPr>
        <w:pStyle w:val="FootnoteText"/>
      </w:pPr>
    </w:p>
  </w:footnote>
  <w:footnote w:id="3">
    <w:p w14:paraId="5DE6C53B" w14:textId="77777777" w:rsidR="0029685C" w:rsidRDefault="0029685C" w:rsidP="007E34C5">
      <w:pPr>
        <w:pStyle w:val="FootnoteText"/>
      </w:pPr>
      <w:r>
        <w:rPr>
          <w:rStyle w:val="FootnoteReference"/>
        </w:rPr>
        <w:footnoteRef/>
      </w:r>
      <w:r>
        <w:t xml:space="preserve"> See </w:t>
      </w:r>
      <w:hyperlink r:id="rId2" w:history="1">
        <w:r>
          <w:rPr>
            <w:rStyle w:val="Hyperlink"/>
          </w:rPr>
          <w:t>https://www.nopta.gov.au/guidelines-and-factsheets/offshore-petroleum-guidelines.html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79CE6" w14:textId="77777777" w:rsidR="0029685C" w:rsidRDefault="0029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BF22C" w14:textId="0EA2F9A2" w:rsidR="0029685C" w:rsidRDefault="0029685C">
    <w:pPr>
      <w:pStyle w:val="Header"/>
    </w:pPr>
    <w:r>
      <w:rPr>
        <w:noProof/>
        <w:sz w:val="44"/>
        <w:szCs w:val="44"/>
        <w:lang w:eastAsia="en-AU"/>
      </w:rPr>
      <w:drawing>
        <wp:anchor distT="0" distB="0" distL="114300" distR="114300" simplePos="0" relativeHeight="251657216" behindDoc="0" locked="0" layoutInCell="1" allowOverlap="1" wp14:anchorId="70EEFEA6" wp14:editId="1746B92D">
          <wp:simplePos x="0" y="0"/>
          <wp:positionH relativeFrom="column">
            <wp:posOffset>3466769</wp:posOffset>
          </wp:positionH>
          <wp:positionV relativeFrom="paragraph">
            <wp:posOffset>-338455</wp:posOffset>
          </wp:positionV>
          <wp:extent cx="2265680" cy="586740"/>
          <wp:effectExtent l="0" t="0" r="1270" b="3810"/>
          <wp:wrapSquare wrapText="bothSides"/>
          <wp:docPr id="2" name="Picture 2" descr="Australian Government logo: National Offshore Petroleum Titles Administ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PTA_in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5680"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52F3">
      <w:rPr>
        <w:noProof/>
        <w:sz w:val="44"/>
        <w:szCs w:val="44"/>
        <w:lang w:eastAsia="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2173" w14:textId="77777777" w:rsidR="0029685C" w:rsidRDefault="0029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57B6"/>
    <w:multiLevelType w:val="hybridMultilevel"/>
    <w:tmpl w:val="3962F618"/>
    <w:lvl w:ilvl="0" w:tplc="B05C4C64">
      <w:start w:val="1"/>
      <w:numFmt w:val="bullet"/>
      <w:lvlText w:val="•"/>
      <w:lvlJc w:val="left"/>
      <w:pPr>
        <w:tabs>
          <w:tab w:val="num" w:pos="720"/>
        </w:tabs>
        <w:ind w:left="720" w:hanging="360"/>
      </w:pPr>
      <w:rPr>
        <w:rFonts w:ascii="Arial" w:hAnsi="Arial" w:hint="default"/>
      </w:rPr>
    </w:lvl>
    <w:lvl w:ilvl="1" w:tplc="0D00060A" w:tentative="1">
      <w:start w:val="1"/>
      <w:numFmt w:val="bullet"/>
      <w:lvlText w:val="•"/>
      <w:lvlJc w:val="left"/>
      <w:pPr>
        <w:tabs>
          <w:tab w:val="num" w:pos="1440"/>
        </w:tabs>
        <w:ind w:left="1440" w:hanging="360"/>
      </w:pPr>
      <w:rPr>
        <w:rFonts w:ascii="Arial" w:hAnsi="Arial" w:hint="default"/>
      </w:rPr>
    </w:lvl>
    <w:lvl w:ilvl="2" w:tplc="F5043FEE" w:tentative="1">
      <w:start w:val="1"/>
      <w:numFmt w:val="bullet"/>
      <w:lvlText w:val="•"/>
      <w:lvlJc w:val="left"/>
      <w:pPr>
        <w:tabs>
          <w:tab w:val="num" w:pos="2160"/>
        </w:tabs>
        <w:ind w:left="2160" w:hanging="360"/>
      </w:pPr>
      <w:rPr>
        <w:rFonts w:ascii="Arial" w:hAnsi="Arial" w:hint="default"/>
      </w:rPr>
    </w:lvl>
    <w:lvl w:ilvl="3" w:tplc="F01C048C" w:tentative="1">
      <w:start w:val="1"/>
      <w:numFmt w:val="bullet"/>
      <w:lvlText w:val="•"/>
      <w:lvlJc w:val="left"/>
      <w:pPr>
        <w:tabs>
          <w:tab w:val="num" w:pos="2880"/>
        </w:tabs>
        <w:ind w:left="2880" w:hanging="360"/>
      </w:pPr>
      <w:rPr>
        <w:rFonts w:ascii="Arial" w:hAnsi="Arial" w:hint="default"/>
      </w:rPr>
    </w:lvl>
    <w:lvl w:ilvl="4" w:tplc="BC1E45E0" w:tentative="1">
      <w:start w:val="1"/>
      <w:numFmt w:val="bullet"/>
      <w:lvlText w:val="•"/>
      <w:lvlJc w:val="left"/>
      <w:pPr>
        <w:tabs>
          <w:tab w:val="num" w:pos="3600"/>
        </w:tabs>
        <w:ind w:left="3600" w:hanging="360"/>
      </w:pPr>
      <w:rPr>
        <w:rFonts w:ascii="Arial" w:hAnsi="Arial" w:hint="default"/>
      </w:rPr>
    </w:lvl>
    <w:lvl w:ilvl="5" w:tplc="0F348502" w:tentative="1">
      <w:start w:val="1"/>
      <w:numFmt w:val="bullet"/>
      <w:lvlText w:val="•"/>
      <w:lvlJc w:val="left"/>
      <w:pPr>
        <w:tabs>
          <w:tab w:val="num" w:pos="4320"/>
        </w:tabs>
        <w:ind w:left="4320" w:hanging="360"/>
      </w:pPr>
      <w:rPr>
        <w:rFonts w:ascii="Arial" w:hAnsi="Arial" w:hint="default"/>
      </w:rPr>
    </w:lvl>
    <w:lvl w:ilvl="6" w:tplc="47806C6E" w:tentative="1">
      <w:start w:val="1"/>
      <w:numFmt w:val="bullet"/>
      <w:lvlText w:val="•"/>
      <w:lvlJc w:val="left"/>
      <w:pPr>
        <w:tabs>
          <w:tab w:val="num" w:pos="5040"/>
        </w:tabs>
        <w:ind w:left="5040" w:hanging="360"/>
      </w:pPr>
      <w:rPr>
        <w:rFonts w:ascii="Arial" w:hAnsi="Arial" w:hint="default"/>
      </w:rPr>
    </w:lvl>
    <w:lvl w:ilvl="7" w:tplc="2A1E16A2" w:tentative="1">
      <w:start w:val="1"/>
      <w:numFmt w:val="bullet"/>
      <w:lvlText w:val="•"/>
      <w:lvlJc w:val="left"/>
      <w:pPr>
        <w:tabs>
          <w:tab w:val="num" w:pos="5760"/>
        </w:tabs>
        <w:ind w:left="5760" w:hanging="360"/>
      </w:pPr>
      <w:rPr>
        <w:rFonts w:ascii="Arial" w:hAnsi="Arial" w:hint="default"/>
      </w:rPr>
    </w:lvl>
    <w:lvl w:ilvl="8" w:tplc="A528A1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587224"/>
    <w:multiLevelType w:val="hybridMultilevel"/>
    <w:tmpl w:val="2CA64948"/>
    <w:lvl w:ilvl="0" w:tplc="D3D2BB5E">
      <w:start w:val="1"/>
      <w:numFmt w:val="bullet"/>
      <w:lvlText w:val=""/>
      <w:lvlJc w:val="left"/>
      <w:pPr>
        <w:ind w:left="360" w:hanging="360"/>
      </w:pPr>
      <w:rPr>
        <w:rFonts w:ascii="Symbol" w:hAnsi="Symbol" w:hint="default"/>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88B63EF"/>
    <w:multiLevelType w:val="hybridMultilevel"/>
    <w:tmpl w:val="48BCC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703B3A"/>
    <w:multiLevelType w:val="hybridMultilevel"/>
    <w:tmpl w:val="4F62BECE"/>
    <w:lvl w:ilvl="0" w:tplc="0C090001">
      <w:start w:val="1"/>
      <w:numFmt w:val="bullet"/>
      <w:lvlText w:val=""/>
      <w:lvlJc w:val="left"/>
      <w:pPr>
        <w:ind w:left="1380" w:hanging="360"/>
      </w:pPr>
      <w:rPr>
        <w:rFonts w:ascii="Symbol" w:hAnsi="Symbol" w:hint="default"/>
      </w:rPr>
    </w:lvl>
    <w:lvl w:ilvl="1" w:tplc="0C090003" w:tentative="1">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4" w15:restartNumberingAfterBreak="0">
    <w:nsid w:val="10792579"/>
    <w:multiLevelType w:val="hybridMultilevel"/>
    <w:tmpl w:val="A8266252"/>
    <w:lvl w:ilvl="0" w:tplc="80A84AAC">
      <w:start w:val="1"/>
      <w:numFmt w:val="bullet"/>
      <w:lvlText w:val="•"/>
      <w:lvlJc w:val="left"/>
      <w:pPr>
        <w:tabs>
          <w:tab w:val="num" w:pos="720"/>
        </w:tabs>
        <w:ind w:left="720" w:hanging="360"/>
      </w:pPr>
      <w:rPr>
        <w:rFonts w:ascii="Arial" w:hAnsi="Arial" w:hint="default"/>
      </w:rPr>
    </w:lvl>
    <w:lvl w:ilvl="1" w:tplc="FE84A624" w:tentative="1">
      <w:start w:val="1"/>
      <w:numFmt w:val="bullet"/>
      <w:lvlText w:val="•"/>
      <w:lvlJc w:val="left"/>
      <w:pPr>
        <w:tabs>
          <w:tab w:val="num" w:pos="1440"/>
        </w:tabs>
        <w:ind w:left="1440" w:hanging="360"/>
      </w:pPr>
      <w:rPr>
        <w:rFonts w:ascii="Arial" w:hAnsi="Arial" w:hint="default"/>
      </w:rPr>
    </w:lvl>
    <w:lvl w:ilvl="2" w:tplc="2D56BBE2" w:tentative="1">
      <w:start w:val="1"/>
      <w:numFmt w:val="bullet"/>
      <w:lvlText w:val="•"/>
      <w:lvlJc w:val="left"/>
      <w:pPr>
        <w:tabs>
          <w:tab w:val="num" w:pos="2160"/>
        </w:tabs>
        <w:ind w:left="2160" w:hanging="360"/>
      </w:pPr>
      <w:rPr>
        <w:rFonts w:ascii="Arial" w:hAnsi="Arial" w:hint="default"/>
      </w:rPr>
    </w:lvl>
    <w:lvl w:ilvl="3" w:tplc="7FE4C820" w:tentative="1">
      <w:start w:val="1"/>
      <w:numFmt w:val="bullet"/>
      <w:lvlText w:val="•"/>
      <w:lvlJc w:val="left"/>
      <w:pPr>
        <w:tabs>
          <w:tab w:val="num" w:pos="2880"/>
        </w:tabs>
        <w:ind w:left="2880" w:hanging="360"/>
      </w:pPr>
      <w:rPr>
        <w:rFonts w:ascii="Arial" w:hAnsi="Arial" w:hint="default"/>
      </w:rPr>
    </w:lvl>
    <w:lvl w:ilvl="4" w:tplc="05481B4C" w:tentative="1">
      <w:start w:val="1"/>
      <w:numFmt w:val="bullet"/>
      <w:lvlText w:val="•"/>
      <w:lvlJc w:val="left"/>
      <w:pPr>
        <w:tabs>
          <w:tab w:val="num" w:pos="3600"/>
        </w:tabs>
        <w:ind w:left="3600" w:hanging="360"/>
      </w:pPr>
      <w:rPr>
        <w:rFonts w:ascii="Arial" w:hAnsi="Arial" w:hint="default"/>
      </w:rPr>
    </w:lvl>
    <w:lvl w:ilvl="5" w:tplc="A2DEC1D4" w:tentative="1">
      <w:start w:val="1"/>
      <w:numFmt w:val="bullet"/>
      <w:lvlText w:val="•"/>
      <w:lvlJc w:val="left"/>
      <w:pPr>
        <w:tabs>
          <w:tab w:val="num" w:pos="4320"/>
        </w:tabs>
        <w:ind w:left="4320" w:hanging="360"/>
      </w:pPr>
      <w:rPr>
        <w:rFonts w:ascii="Arial" w:hAnsi="Arial" w:hint="default"/>
      </w:rPr>
    </w:lvl>
    <w:lvl w:ilvl="6" w:tplc="8692EDEA" w:tentative="1">
      <w:start w:val="1"/>
      <w:numFmt w:val="bullet"/>
      <w:lvlText w:val="•"/>
      <w:lvlJc w:val="left"/>
      <w:pPr>
        <w:tabs>
          <w:tab w:val="num" w:pos="5040"/>
        </w:tabs>
        <w:ind w:left="5040" w:hanging="360"/>
      </w:pPr>
      <w:rPr>
        <w:rFonts w:ascii="Arial" w:hAnsi="Arial" w:hint="default"/>
      </w:rPr>
    </w:lvl>
    <w:lvl w:ilvl="7" w:tplc="A8E4DC74" w:tentative="1">
      <w:start w:val="1"/>
      <w:numFmt w:val="bullet"/>
      <w:lvlText w:val="•"/>
      <w:lvlJc w:val="left"/>
      <w:pPr>
        <w:tabs>
          <w:tab w:val="num" w:pos="5760"/>
        </w:tabs>
        <w:ind w:left="5760" w:hanging="360"/>
      </w:pPr>
      <w:rPr>
        <w:rFonts w:ascii="Arial" w:hAnsi="Arial" w:hint="default"/>
      </w:rPr>
    </w:lvl>
    <w:lvl w:ilvl="8" w:tplc="0BD2C2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490236"/>
    <w:multiLevelType w:val="hybridMultilevel"/>
    <w:tmpl w:val="D89EBF3A"/>
    <w:lvl w:ilvl="0" w:tplc="83FA728C">
      <w:start w:val="1"/>
      <w:numFmt w:val="bullet"/>
      <w:pStyle w:val="Bullet"/>
      <w:lvlText w:val="•"/>
      <w:lvlJc w:val="left"/>
      <w:pPr>
        <w:tabs>
          <w:tab w:val="num" w:pos="360"/>
        </w:tabs>
        <w:ind w:left="360" w:hanging="360"/>
      </w:pPr>
      <w:rPr>
        <w:rFonts w:ascii="Verdana" w:hAnsi="Verdana"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3C5AF7"/>
    <w:multiLevelType w:val="hybridMultilevel"/>
    <w:tmpl w:val="71009E4E"/>
    <w:lvl w:ilvl="0" w:tplc="62B2B100">
      <w:start w:val="1"/>
      <w:numFmt w:val="bullet"/>
      <w:lvlText w:val=""/>
      <w:lvlJc w:val="left"/>
      <w:pPr>
        <w:ind w:left="720" w:hanging="360"/>
      </w:pPr>
      <w:rPr>
        <w:rFonts w:ascii="Symbol" w:hAnsi="Symbol" w:hint="default"/>
        <w:sz w:val="22"/>
        <w:szCs w:val="22"/>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69276B"/>
    <w:multiLevelType w:val="hybridMultilevel"/>
    <w:tmpl w:val="FF1EA6D4"/>
    <w:lvl w:ilvl="0" w:tplc="0C090001">
      <w:start w:val="1"/>
      <w:numFmt w:val="bullet"/>
      <w:lvlText w:val=""/>
      <w:lvlJc w:val="left"/>
      <w:pPr>
        <w:ind w:left="720" w:hanging="360"/>
      </w:pPr>
      <w:rPr>
        <w:rFonts w:ascii="Symbol" w:hAnsi="Symbol" w:hint="default"/>
      </w:rPr>
    </w:lvl>
    <w:lvl w:ilvl="1" w:tplc="263C19A8">
      <w:start w:val="1"/>
      <w:numFmt w:val="bullet"/>
      <w:lvlText w:val="-"/>
      <w:lvlJc w:val="left"/>
      <w:pPr>
        <w:ind w:left="1440" w:hanging="360"/>
      </w:pPr>
      <w:rPr>
        <w:rFonts w:ascii="Arial" w:hAnsi="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136DC5"/>
    <w:multiLevelType w:val="hybridMultilevel"/>
    <w:tmpl w:val="6BE00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692722"/>
    <w:multiLevelType w:val="hybridMultilevel"/>
    <w:tmpl w:val="0ECE33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895CA2"/>
    <w:multiLevelType w:val="singleLevel"/>
    <w:tmpl w:val="5C1ADF9E"/>
    <w:lvl w:ilvl="0">
      <w:start w:val="1"/>
      <w:numFmt w:val="bullet"/>
      <w:lvlText w:val=""/>
      <w:lvlJc w:val="left"/>
      <w:pPr>
        <w:tabs>
          <w:tab w:val="num" w:pos="340"/>
        </w:tabs>
        <w:ind w:left="340" w:hanging="340"/>
      </w:pPr>
      <w:rPr>
        <w:rFonts w:ascii="Symbol" w:hAnsi="Symbol" w:hint="default"/>
        <w:color w:val="auto"/>
        <w:sz w:val="22"/>
      </w:rPr>
    </w:lvl>
  </w:abstractNum>
  <w:abstractNum w:abstractNumId="11" w15:restartNumberingAfterBreak="0">
    <w:nsid w:val="1D371035"/>
    <w:multiLevelType w:val="hybridMultilevel"/>
    <w:tmpl w:val="EAAE9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975370"/>
    <w:multiLevelType w:val="hybridMultilevel"/>
    <w:tmpl w:val="4920B5F6"/>
    <w:lvl w:ilvl="0" w:tplc="FDB245B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CC43B6"/>
    <w:multiLevelType w:val="hybridMultilevel"/>
    <w:tmpl w:val="0C684780"/>
    <w:lvl w:ilvl="0" w:tplc="E932B75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54202E"/>
    <w:multiLevelType w:val="hybridMultilevel"/>
    <w:tmpl w:val="FDE4D42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6C2AF5"/>
    <w:multiLevelType w:val="hybridMultilevel"/>
    <w:tmpl w:val="60A2B13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8C6958"/>
    <w:multiLevelType w:val="hybridMultilevel"/>
    <w:tmpl w:val="54B4D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AB382C"/>
    <w:multiLevelType w:val="hybridMultilevel"/>
    <w:tmpl w:val="5BD2E5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9F31AD"/>
    <w:multiLevelType w:val="hybridMultilevel"/>
    <w:tmpl w:val="028E7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DD631B"/>
    <w:multiLevelType w:val="hybridMultilevel"/>
    <w:tmpl w:val="A5FC25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69A7707"/>
    <w:multiLevelType w:val="hybridMultilevel"/>
    <w:tmpl w:val="572CABC4"/>
    <w:lvl w:ilvl="0" w:tplc="0C090001">
      <w:start w:val="1"/>
      <w:numFmt w:val="bullet"/>
      <w:lvlText w:val=""/>
      <w:lvlJc w:val="left"/>
      <w:pPr>
        <w:ind w:left="720" w:hanging="360"/>
      </w:pPr>
      <w:rPr>
        <w:rFonts w:ascii="Symbol" w:hAnsi="Symbol" w:hint="default"/>
      </w:rPr>
    </w:lvl>
    <w:lvl w:ilvl="1" w:tplc="263C19A8">
      <w:start w:val="1"/>
      <w:numFmt w:val="bullet"/>
      <w:lvlText w:val="-"/>
      <w:lvlJc w:val="left"/>
      <w:pPr>
        <w:ind w:left="1440" w:hanging="360"/>
      </w:pPr>
      <w:rPr>
        <w:rFonts w:ascii="Arial" w:hAnsi="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5D27CD"/>
    <w:multiLevelType w:val="hybridMultilevel"/>
    <w:tmpl w:val="EAAE97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E0161B"/>
    <w:multiLevelType w:val="hybridMultilevel"/>
    <w:tmpl w:val="C0E6D4B0"/>
    <w:lvl w:ilvl="0" w:tplc="1E5622AC">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D12C18"/>
    <w:multiLevelType w:val="hybridMultilevel"/>
    <w:tmpl w:val="84B2263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5B63F2"/>
    <w:multiLevelType w:val="hybridMultilevel"/>
    <w:tmpl w:val="E894FA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765D23"/>
    <w:multiLevelType w:val="hybridMultilevel"/>
    <w:tmpl w:val="8568884A"/>
    <w:lvl w:ilvl="0" w:tplc="0A04C0D0">
      <w:start w:val="1"/>
      <w:numFmt w:val="bullet"/>
      <w:lvlText w:val=""/>
      <w:lvlJc w:val="left"/>
      <w:pPr>
        <w:ind w:left="170" w:hanging="17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3BD5E41"/>
    <w:multiLevelType w:val="hybridMultilevel"/>
    <w:tmpl w:val="3F58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C20B24"/>
    <w:multiLevelType w:val="hybridMultilevel"/>
    <w:tmpl w:val="13DA126E"/>
    <w:lvl w:ilvl="0" w:tplc="263C19A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547B55"/>
    <w:multiLevelType w:val="hybridMultilevel"/>
    <w:tmpl w:val="84A65B4C"/>
    <w:lvl w:ilvl="0" w:tplc="F814B69C">
      <w:start w:val="1"/>
      <w:numFmt w:val="bullet"/>
      <w:lvlText w:val=""/>
      <w:lvlJc w:val="left"/>
      <w:pPr>
        <w:tabs>
          <w:tab w:val="num" w:pos="720"/>
        </w:tabs>
        <w:ind w:left="720" w:hanging="360"/>
      </w:pPr>
      <w:rPr>
        <w:rFonts w:ascii="Wingdings" w:hAnsi="Wingdings" w:hint="default"/>
      </w:rPr>
    </w:lvl>
    <w:lvl w:ilvl="1" w:tplc="00422FBA" w:tentative="1">
      <w:start w:val="1"/>
      <w:numFmt w:val="bullet"/>
      <w:lvlText w:val=""/>
      <w:lvlJc w:val="left"/>
      <w:pPr>
        <w:tabs>
          <w:tab w:val="num" w:pos="1440"/>
        </w:tabs>
        <w:ind w:left="1440" w:hanging="360"/>
      </w:pPr>
      <w:rPr>
        <w:rFonts w:ascii="Wingdings" w:hAnsi="Wingdings" w:hint="default"/>
      </w:rPr>
    </w:lvl>
    <w:lvl w:ilvl="2" w:tplc="40625D0C" w:tentative="1">
      <w:start w:val="1"/>
      <w:numFmt w:val="bullet"/>
      <w:lvlText w:val=""/>
      <w:lvlJc w:val="left"/>
      <w:pPr>
        <w:tabs>
          <w:tab w:val="num" w:pos="2160"/>
        </w:tabs>
        <w:ind w:left="2160" w:hanging="360"/>
      </w:pPr>
      <w:rPr>
        <w:rFonts w:ascii="Wingdings" w:hAnsi="Wingdings" w:hint="default"/>
      </w:rPr>
    </w:lvl>
    <w:lvl w:ilvl="3" w:tplc="F3FA4CAC" w:tentative="1">
      <w:start w:val="1"/>
      <w:numFmt w:val="bullet"/>
      <w:lvlText w:val=""/>
      <w:lvlJc w:val="left"/>
      <w:pPr>
        <w:tabs>
          <w:tab w:val="num" w:pos="2880"/>
        </w:tabs>
        <w:ind w:left="2880" w:hanging="360"/>
      </w:pPr>
      <w:rPr>
        <w:rFonts w:ascii="Wingdings" w:hAnsi="Wingdings" w:hint="default"/>
      </w:rPr>
    </w:lvl>
    <w:lvl w:ilvl="4" w:tplc="D08E7134" w:tentative="1">
      <w:start w:val="1"/>
      <w:numFmt w:val="bullet"/>
      <w:lvlText w:val=""/>
      <w:lvlJc w:val="left"/>
      <w:pPr>
        <w:tabs>
          <w:tab w:val="num" w:pos="3600"/>
        </w:tabs>
        <w:ind w:left="3600" w:hanging="360"/>
      </w:pPr>
      <w:rPr>
        <w:rFonts w:ascii="Wingdings" w:hAnsi="Wingdings" w:hint="default"/>
      </w:rPr>
    </w:lvl>
    <w:lvl w:ilvl="5" w:tplc="61E40732" w:tentative="1">
      <w:start w:val="1"/>
      <w:numFmt w:val="bullet"/>
      <w:lvlText w:val=""/>
      <w:lvlJc w:val="left"/>
      <w:pPr>
        <w:tabs>
          <w:tab w:val="num" w:pos="4320"/>
        </w:tabs>
        <w:ind w:left="4320" w:hanging="360"/>
      </w:pPr>
      <w:rPr>
        <w:rFonts w:ascii="Wingdings" w:hAnsi="Wingdings" w:hint="default"/>
      </w:rPr>
    </w:lvl>
    <w:lvl w:ilvl="6" w:tplc="54D4DA8C" w:tentative="1">
      <w:start w:val="1"/>
      <w:numFmt w:val="bullet"/>
      <w:lvlText w:val=""/>
      <w:lvlJc w:val="left"/>
      <w:pPr>
        <w:tabs>
          <w:tab w:val="num" w:pos="5040"/>
        </w:tabs>
        <w:ind w:left="5040" w:hanging="360"/>
      </w:pPr>
      <w:rPr>
        <w:rFonts w:ascii="Wingdings" w:hAnsi="Wingdings" w:hint="default"/>
      </w:rPr>
    </w:lvl>
    <w:lvl w:ilvl="7" w:tplc="B4327ED8" w:tentative="1">
      <w:start w:val="1"/>
      <w:numFmt w:val="bullet"/>
      <w:lvlText w:val=""/>
      <w:lvlJc w:val="left"/>
      <w:pPr>
        <w:tabs>
          <w:tab w:val="num" w:pos="5760"/>
        </w:tabs>
        <w:ind w:left="5760" w:hanging="360"/>
      </w:pPr>
      <w:rPr>
        <w:rFonts w:ascii="Wingdings" w:hAnsi="Wingdings" w:hint="default"/>
      </w:rPr>
    </w:lvl>
    <w:lvl w:ilvl="8" w:tplc="C672A26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6455B1"/>
    <w:multiLevelType w:val="hybridMultilevel"/>
    <w:tmpl w:val="4CAE0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4E4330F9"/>
    <w:multiLevelType w:val="hybridMultilevel"/>
    <w:tmpl w:val="133672F0"/>
    <w:lvl w:ilvl="0" w:tplc="ED0203FE">
      <w:start w:val="1"/>
      <w:numFmt w:val="bullet"/>
      <w:lvlText w:val="•"/>
      <w:lvlJc w:val="left"/>
      <w:pPr>
        <w:tabs>
          <w:tab w:val="num" w:pos="720"/>
        </w:tabs>
        <w:ind w:left="720" w:hanging="360"/>
      </w:pPr>
      <w:rPr>
        <w:rFonts w:ascii="Arial" w:hAnsi="Arial" w:hint="default"/>
      </w:rPr>
    </w:lvl>
    <w:lvl w:ilvl="1" w:tplc="98C073AA" w:tentative="1">
      <w:start w:val="1"/>
      <w:numFmt w:val="bullet"/>
      <w:lvlText w:val="•"/>
      <w:lvlJc w:val="left"/>
      <w:pPr>
        <w:tabs>
          <w:tab w:val="num" w:pos="1440"/>
        </w:tabs>
        <w:ind w:left="1440" w:hanging="360"/>
      </w:pPr>
      <w:rPr>
        <w:rFonts w:ascii="Arial" w:hAnsi="Arial" w:hint="default"/>
      </w:rPr>
    </w:lvl>
    <w:lvl w:ilvl="2" w:tplc="DF6858AC" w:tentative="1">
      <w:start w:val="1"/>
      <w:numFmt w:val="bullet"/>
      <w:lvlText w:val="•"/>
      <w:lvlJc w:val="left"/>
      <w:pPr>
        <w:tabs>
          <w:tab w:val="num" w:pos="2160"/>
        </w:tabs>
        <w:ind w:left="2160" w:hanging="360"/>
      </w:pPr>
      <w:rPr>
        <w:rFonts w:ascii="Arial" w:hAnsi="Arial" w:hint="default"/>
      </w:rPr>
    </w:lvl>
    <w:lvl w:ilvl="3" w:tplc="10E22532" w:tentative="1">
      <w:start w:val="1"/>
      <w:numFmt w:val="bullet"/>
      <w:lvlText w:val="•"/>
      <w:lvlJc w:val="left"/>
      <w:pPr>
        <w:tabs>
          <w:tab w:val="num" w:pos="2880"/>
        </w:tabs>
        <w:ind w:left="2880" w:hanging="360"/>
      </w:pPr>
      <w:rPr>
        <w:rFonts w:ascii="Arial" w:hAnsi="Arial" w:hint="default"/>
      </w:rPr>
    </w:lvl>
    <w:lvl w:ilvl="4" w:tplc="3FCA9EA0" w:tentative="1">
      <w:start w:val="1"/>
      <w:numFmt w:val="bullet"/>
      <w:lvlText w:val="•"/>
      <w:lvlJc w:val="left"/>
      <w:pPr>
        <w:tabs>
          <w:tab w:val="num" w:pos="3600"/>
        </w:tabs>
        <w:ind w:left="3600" w:hanging="360"/>
      </w:pPr>
      <w:rPr>
        <w:rFonts w:ascii="Arial" w:hAnsi="Arial" w:hint="default"/>
      </w:rPr>
    </w:lvl>
    <w:lvl w:ilvl="5" w:tplc="DC7AEF96" w:tentative="1">
      <w:start w:val="1"/>
      <w:numFmt w:val="bullet"/>
      <w:lvlText w:val="•"/>
      <w:lvlJc w:val="left"/>
      <w:pPr>
        <w:tabs>
          <w:tab w:val="num" w:pos="4320"/>
        </w:tabs>
        <w:ind w:left="4320" w:hanging="360"/>
      </w:pPr>
      <w:rPr>
        <w:rFonts w:ascii="Arial" w:hAnsi="Arial" w:hint="default"/>
      </w:rPr>
    </w:lvl>
    <w:lvl w:ilvl="6" w:tplc="0756EBFE" w:tentative="1">
      <w:start w:val="1"/>
      <w:numFmt w:val="bullet"/>
      <w:lvlText w:val="•"/>
      <w:lvlJc w:val="left"/>
      <w:pPr>
        <w:tabs>
          <w:tab w:val="num" w:pos="5040"/>
        </w:tabs>
        <w:ind w:left="5040" w:hanging="360"/>
      </w:pPr>
      <w:rPr>
        <w:rFonts w:ascii="Arial" w:hAnsi="Arial" w:hint="default"/>
      </w:rPr>
    </w:lvl>
    <w:lvl w:ilvl="7" w:tplc="1BB2CC78" w:tentative="1">
      <w:start w:val="1"/>
      <w:numFmt w:val="bullet"/>
      <w:lvlText w:val="•"/>
      <w:lvlJc w:val="left"/>
      <w:pPr>
        <w:tabs>
          <w:tab w:val="num" w:pos="5760"/>
        </w:tabs>
        <w:ind w:left="5760" w:hanging="360"/>
      </w:pPr>
      <w:rPr>
        <w:rFonts w:ascii="Arial" w:hAnsi="Arial" w:hint="default"/>
      </w:rPr>
    </w:lvl>
    <w:lvl w:ilvl="8" w:tplc="95B279F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ED332BE"/>
    <w:multiLevelType w:val="hybridMultilevel"/>
    <w:tmpl w:val="C43CE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9E2D75"/>
    <w:multiLevelType w:val="hybridMultilevel"/>
    <w:tmpl w:val="D826AA7C"/>
    <w:lvl w:ilvl="0" w:tplc="3552DF66">
      <w:start w:val="1"/>
      <w:numFmt w:val="bullet"/>
      <w:pStyle w:val="ListBullet"/>
      <w:lvlText w:val=""/>
      <w:lvlJc w:val="left"/>
      <w:pPr>
        <w:tabs>
          <w:tab w:val="num" w:pos="340"/>
        </w:tabs>
        <w:ind w:left="340" w:hanging="340"/>
      </w:pPr>
      <w:rPr>
        <w:rFonts w:ascii="Symbol" w:hAnsi="Symbol" w:hint="default"/>
        <w:color w:val="auto"/>
        <w:sz w:val="22"/>
      </w:rPr>
    </w:lvl>
    <w:lvl w:ilvl="1" w:tplc="D26AC600">
      <w:numFmt w:val="bullet"/>
      <w:lvlText w:val="•"/>
      <w:lvlJc w:val="left"/>
      <w:pPr>
        <w:ind w:left="1440" w:hanging="360"/>
      </w:pPr>
      <w:rPr>
        <w:rFonts w:ascii="Times New Roman" w:eastAsia="Calibri" w:hAnsi="Times New Roman" w:cs="Times New Roman" w:hint="default"/>
      </w:rPr>
    </w:lvl>
    <w:lvl w:ilvl="2" w:tplc="8BDE5336">
      <w:start w:val="1"/>
      <w:numFmt w:val="bullet"/>
      <w:lvlText w:val=""/>
      <w:lvlJc w:val="left"/>
      <w:pPr>
        <w:ind w:left="2160" w:hanging="360"/>
      </w:pPr>
      <w:rPr>
        <w:rFonts w:ascii="Wingdings" w:hAnsi="Wingdings" w:hint="default"/>
      </w:rPr>
    </w:lvl>
    <w:lvl w:ilvl="3" w:tplc="9F562B7E">
      <w:start w:val="1"/>
      <w:numFmt w:val="bullet"/>
      <w:lvlText w:val=""/>
      <w:lvlJc w:val="left"/>
      <w:pPr>
        <w:ind w:left="2880" w:hanging="360"/>
      </w:pPr>
      <w:rPr>
        <w:rFonts w:ascii="Symbol" w:hAnsi="Symbol" w:hint="default"/>
      </w:rPr>
    </w:lvl>
    <w:lvl w:ilvl="4" w:tplc="FC224D3C">
      <w:start w:val="1"/>
      <w:numFmt w:val="bullet"/>
      <w:lvlText w:val="o"/>
      <w:lvlJc w:val="left"/>
      <w:pPr>
        <w:ind w:left="3600" w:hanging="360"/>
      </w:pPr>
      <w:rPr>
        <w:rFonts w:ascii="Courier New" w:hAnsi="Courier New" w:cs="Courier New" w:hint="default"/>
      </w:rPr>
    </w:lvl>
    <w:lvl w:ilvl="5" w:tplc="8982E612">
      <w:start w:val="1"/>
      <w:numFmt w:val="bullet"/>
      <w:lvlText w:val=""/>
      <w:lvlJc w:val="left"/>
      <w:pPr>
        <w:ind w:left="4320" w:hanging="360"/>
      </w:pPr>
      <w:rPr>
        <w:rFonts w:ascii="Wingdings" w:hAnsi="Wingdings" w:hint="default"/>
      </w:rPr>
    </w:lvl>
    <w:lvl w:ilvl="6" w:tplc="BBBA797C">
      <w:start w:val="1"/>
      <w:numFmt w:val="bullet"/>
      <w:lvlText w:val=""/>
      <w:lvlJc w:val="left"/>
      <w:pPr>
        <w:ind w:left="5040" w:hanging="360"/>
      </w:pPr>
      <w:rPr>
        <w:rFonts w:ascii="Symbol" w:hAnsi="Symbol" w:hint="default"/>
      </w:rPr>
    </w:lvl>
    <w:lvl w:ilvl="7" w:tplc="E72C37E4">
      <w:start w:val="1"/>
      <w:numFmt w:val="bullet"/>
      <w:lvlText w:val="o"/>
      <w:lvlJc w:val="left"/>
      <w:pPr>
        <w:ind w:left="5760" w:hanging="360"/>
      </w:pPr>
      <w:rPr>
        <w:rFonts w:ascii="Courier New" w:hAnsi="Courier New" w:cs="Courier New" w:hint="default"/>
      </w:rPr>
    </w:lvl>
    <w:lvl w:ilvl="8" w:tplc="AB9CFDEE">
      <w:start w:val="1"/>
      <w:numFmt w:val="bullet"/>
      <w:lvlText w:val=""/>
      <w:lvlJc w:val="left"/>
      <w:pPr>
        <w:ind w:left="6480" w:hanging="360"/>
      </w:pPr>
      <w:rPr>
        <w:rFonts w:ascii="Wingdings" w:hAnsi="Wingdings" w:hint="default"/>
      </w:rPr>
    </w:lvl>
  </w:abstractNum>
  <w:abstractNum w:abstractNumId="33" w15:restartNumberingAfterBreak="0">
    <w:nsid w:val="55450BE6"/>
    <w:multiLevelType w:val="singleLevel"/>
    <w:tmpl w:val="DB0881D0"/>
    <w:lvl w:ilvl="0">
      <w:start w:val="1"/>
      <w:numFmt w:val="bullet"/>
      <w:lvlText w:val=""/>
      <w:lvlJc w:val="left"/>
      <w:pPr>
        <w:tabs>
          <w:tab w:val="num" w:pos="340"/>
        </w:tabs>
        <w:ind w:left="340" w:hanging="340"/>
      </w:pPr>
      <w:rPr>
        <w:rFonts w:ascii="Symbol" w:hAnsi="Symbol" w:hint="default"/>
        <w:color w:val="auto"/>
        <w:sz w:val="22"/>
      </w:rPr>
    </w:lvl>
  </w:abstractNum>
  <w:abstractNum w:abstractNumId="34" w15:restartNumberingAfterBreak="0">
    <w:nsid w:val="55AA2BA9"/>
    <w:multiLevelType w:val="hybridMultilevel"/>
    <w:tmpl w:val="9806AA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6F719F0"/>
    <w:multiLevelType w:val="hybridMultilevel"/>
    <w:tmpl w:val="9F26F6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589D39C6"/>
    <w:multiLevelType w:val="hybridMultilevel"/>
    <w:tmpl w:val="2A184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C47859"/>
    <w:multiLevelType w:val="hybridMultilevel"/>
    <w:tmpl w:val="98E40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B3252B"/>
    <w:multiLevelType w:val="hybridMultilevel"/>
    <w:tmpl w:val="D570B94A"/>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C6638B"/>
    <w:multiLevelType w:val="hybridMultilevel"/>
    <w:tmpl w:val="22D47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905BD8"/>
    <w:multiLevelType w:val="hybridMultilevel"/>
    <w:tmpl w:val="60A2B13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0C4C47"/>
    <w:multiLevelType w:val="hybridMultilevel"/>
    <w:tmpl w:val="2488DB42"/>
    <w:lvl w:ilvl="0" w:tplc="FB2A0AEE">
      <w:start w:val="1"/>
      <w:numFmt w:val="bullet"/>
      <w:lvlText w:val=""/>
      <w:lvlJc w:val="left"/>
      <w:pPr>
        <w:ind w:left="720" w:hanging="360"/>
      </w:pPr>
      <w:rPr>
        <w:rFonts w:ascii="Symbol" w:hAnsi="Symbol" w:hint="default"/>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9244873"/>
    <w:multiLevelType w:val="hybridMultilevel"/>
    <w:tmpl w:val="316685A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3B5B94"/>
    <w:multiLevelType w:val="hybridMultilevel"/>
    <w:tmpl w:val="FDE4D42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99419E0"/>
    <w:multiLevelType w:val="hybridMultilevel"/>
    <w:tmpl w:val="E5FEFE6C"/>
    <w:lvl w:ilvl="0" w:tplc="FB907FEA">
      <w:start w:val="1"/>
      <w:numFmt w:val="bullet"/>
      <w:lvlText w:val="•"/>
      <w:lvlJc w:val="left"/>
      <w:pPr>
        <w:ind w:left="360" w:hanging="360"/>
      </w:pPr>
      <w:rPr>
        <w:rFonts w:ascii="Verdana" w:hAnsi="Verdana"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ABA3506"/>
    <w:multiLevelType w:val="hybridMultilevel"/>
    <w:tmpl w:val="D9BA4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D3B4F8C"/>
    <w:multiLevelType w:val="hybridMultilevel"/>
    <w:tmpl w:val="C1E610D0"/>
    <w:lvl w:ilvl="0" w:tplc="45924326">
      <w:start w:val="1"/>
      <w:numFmt w:val="bullet"/>
      <w:lvlText w:val="•"/>
      <w:lvlJc w:val="left"/>
      <w:pPr>
        <w:tabs>
          <w:tab w:val="num" w:pos="1080"/>
        </w:tabs>
        <w:ind w:left="1080" w:hanging="360"/>
      </w:pPr>
      <w:rPr>
        <w:rFonts w:ascii="Arial" w:hAnsi="Arial" w:hint="default"/>
      </w:rPr>
    </w:lvl>
    <w:lvl w:ilvl="1" w:tplc="856CE71A" w:tentative="1">
      <w:start w:val="1"/>
      <w:numFmt w:val="bullet"/>
      <w:lvlText w:val="•"/>
      <w:lvlJc w:val="left"/>
      <w:pPr>
        <w:tabs>
          <w:tab w:val="num" w:pos="1800"/>
        </w:tabs>
        <w:ind w:left="1800" w:hanging="360"/>
      </w:pPr>
      <w:rPr>
        <w:rFonts w:ascii="Arial" w:hAnsi="Arial" w:hint="default"/>
      </w:rPr>
    </w:lvl>
    <w:lvl w:ilvl="2" w:tplc="613A7394" w:tentative="1">
      <w:start w:val="1"/>
      <w:numFmt w:val="bullet"/>
      <w:lvlText w:val="•"/>
      <w:lvlJc w:val="left"/>
      <w:pPr>
        <w:tabs>
          <w:tab w:val="num" w:pos="2520"/>
        </w:tabs>
        <w:ind w:left="2520" w:hanging="360"/>
      </w:pPr>
      <w:rPr>
        <w:rFonts w:ascii="Arial" w:hAnsi="Arial" w:hint="default"/>
      </w:rPr>
    </w:lvl>
    <w:lvl w:ilvl="3" w:tplc="9A0AE898" w:tentative="1">
      <w:start w:val="1"/>
      <w:numFmt w:val="bullet"/>
      <w:lvlText w:val="•"/>
      <w:lvlJc w:val="left"/>
      <w:pPr>
        <w:tabs>
          <w:tab w:val="num" w:pos="3240"/>
        </w:tabs>
        <w:ind w:left="3240" w:hanging="360"/>
      </w:pPr>
      <w:rPr>
        <w:rFonts w:ascii="Arial" w:hAnsi="Arial" w:hint="default"/>
      </w:rPr>
    </w:lvl>
    <w:lvl w:ilvl="4" w:tplc="C13EF2EE" w:tentative="1">
      <w:start w:val="1"/>
      <w:numFmt w:val="bullet"/>
      <w:lvlText w:val="•"/>
      <w:lvlJc w:val="left"/>
      <w:pPr>
        <w:tabs>
          <w:tab w:val="num" w:pos="3960"/>
        </w:tabs>
        <w:ind w:left="3960" w:hanging="360"/>
      </w:pPr>
      <w:rPr>
        <w:rFonts w:ascii="Arial" w:hAnsi="Arial" w:hint="default"/>
      </w:rPr>
    </w:lvl>
    <w:lvl w:ilvl="5" w:tplc="1D8CE83A" w:tentative="1">
      <w:start w:val="1"/>
      <w:numFmt w:val="bullet"/>
      <w:lvlText w:val="•"/>
      <w:lvlJc w:val="left"/>
      <w:pPr>
        <w:tabs>
          <w:tab w:val="num" w:pos="4680"/>
        </w:tabs>
        <w:ind w:left="4680" w:hanging="360"/>
      </w:pPr>
      <w:rPr>
        <w:rFonts w:ascii="Arial" w:hAnsi="Arial" w:hint="default"/>
      </w:rPr>
    </w:lvl>
    <w:lvl w:ilvl="6" w:tplc="AFB2B912" w:tentative="1">
      <w:start w:val="1"/>
      <w:numFmt w:val="bullet"/>
      <w:lvlText w:val="•"/>
      <w:lvlJc w:val="left"/>
      <w:pPr>
        <w:tabs>
          <w:tab w:val="num" w:pos="5400"/>
        </w:tabs>
        <w:ind w:left="5400" w:hanging="360"/>
      </w:pPr>
      <w:rPr>
        <w:rFonts w:ascii="Arial" w:hAnsi="Arial" w:hint="default"/>
      </w:rPr>
    </w:lvl>
    <w:lvl w:ilvl="7" w:tplc="60CCDA42" w:tentative="1">
      <w:start w:val="1"/>
      <w:numFmt w:val="bullet"/>
      <w:lvlText w:val="•"/>
      <w:lvlJc w:val="left"/>
      <w:pPr>
        <w:tabs>
          <w:tab w:val="num" w:pos="6120"/>
        </w:tabs>
        <w:ind w:left="6120" w:hanging="360"/>
      </w:pPr>
      <w:rPr>
        <w:rFonts w:ascii="Arial" w:hAnsi="Arial" w:hint="default"/>
      </w:rPr>
    </w:lvl>
    <w:lvl w:ilvl="8" w:tplc="BBCAC0B2" w:tentative="1">
      <w:start w:val="1"/>
      <w:numFmt w:val="bullet"/>
      <w:lvlText w:val="•"/>
      <w:lvlJc w:val="left"/>
      <w:pPr>
        <w:tabs>
          <w:tab w:val="num" w:pos="6840"/>
        </w:tabs>
        <w:ind w:left="6840" w:hanging="360"/>
      </w:pPr>
      <w:rPr>
        <w:rFonts w:ascii="Arial" w:hAnsi="Arial" w:hint="default"/>
      </w:rPr>
    </w:lvl>
  </w:abstractNum>
  <w:abstractNum w:abstractNumId="47" w15:restartNumberingAfterBreak="0">
    <w:nsid w:val="6DFA7059"/>
    <w:multiLevelType w:val="multilevel"/>
    <w:tmpl w:val="B5B6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ED358A2"/>
    <w:multiLevelType w:val="hybridMultilevel"/>
    <w:tmpl w:val="F080FF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F002993"/>
    <w:multiLevelType w:val="hybridMultilevel"/>
    <w:tmpl w:val="5F886D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10341F2"/>
    <w:multiLevelType w:val="hybridMultilevel"/>
    <w:tmpl w:val="CAEC5CA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6F2783A"/>
    <w:multiLevelType w:val="hybridMultilevel"/>
    <w:tmpl w:val="CAEC5CA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CAC1A2D"/>
    <w:multiLevelType w:val="hybridMultilevel"/>
    <w:tmpl w:val="EAE2967E"/>
    <w:lvl w:ilvl="0" w:tplc="FB2A0AEE">
      <w:start w:val="1"/>
      <w:numFmt w:val="bullet"/>
      <w:lvlText w:val=""/>
      <w:lvlJc w:val="left"/>
      <w:pPr>
        <w:ind w:left="720" w:hanging="360"/>
      </w:pPr>
      <w:rPr>
        <w:rFonts w:ascii="Symbol" w:hAnsi="Symbol" w:hint="default"/>
        <w:color w:val="auto"/>
        <w:sz w:val="22"/>
        <w:szCs w:val="22"/>
      </w:rPr>
    </w:lvl>
    <w:lvl w:ilvl="1" w:tplc="E932B75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7"/>
  </w:num>
  <w:num w:numId="2">
    <w:abstractNumId w:val="34"/>
  </w:num>
  <w:num w:numId="3">
    <w:abstractNumId w:val="38"/>
  </w:num>
  <w:num w:numId="4">
    <w:abstractNumId w:val="8"/>
  </w:num>
  <w:num w:numId="5">
    <w:abstractNumId w:val="12"/>
  </w:num>
  <w:num w:numId="6">
    <w:abstractNumId w:val="22"/>
  </w:num>
  <w:num w:numId="7">
    <w:abstractNumId w:val="31"/>
  </w:num>
  <w:num w:numId="8">
    <w:abstractNumId w:val="39"/>
  </w:num>
  <w:num w:numId="9">
    <w:abstractNumId w:val="6"/>
  </w:num>
  <w:num w:numId="10">
    <w:abstractNumId w:val="3"/>
  </w:num>
  <w:num w:numId="11">
    <w:abstractNumId w:val="5"/>
  </w:num>
  <w:num w:numId="12">
    <w:abstractNumId w:val="25"/>
  </w:num>
  <w:num w:numId="13">
    <w:abstractNumId w:val="23"/>
  </w:num>
  <w:num w:numId="14">
    <w:abstractNumId w:val="15"/>
  </w:num>
  <w:num w:numId="15">
    <w:abstractNumId w:val="20"/>
  </w:num>
  <w:num w:numId="16">
    <w:abstractNumId w:val="2"/>
  </w:num>
  <w:num w:numId="17">
    <w:abstractNumId w:val="42"/>
  </w:num>
  <w:num w:numId="18">
    <w:abstractNumId w:val="51"/>
  </w:num>
  <w:num w:numId="19">
    <w:abstractNumId w:val="50"/>
  </w:num>
  <w:num w:numId="20">
    <w:abstractNumId w:val="46"/>
  </w:num>
  <w:num w:numId="21">
    <w:abstractNumId w:val="4"/>
  </w:num>
  <w:num w:numId="22">
    <w:abstractNumId w:val="0"/>
  </w:num>
  <w:num w:numId="23">
    <w:abstractNumId w:val="11"/>
  </w:num>
  <w:num w:numId="24">
    <w:abstractNumId w:val="43"/>
  </w:num>
  <w:num w:numId="25">
    <w:abstractNumId w:val="40"/>
  </w:num>
  <w:num w:numId="26">
    <w:abstractNumId w:val="14"/>
  </w:num>
  <w:num w:numId="27">
    <w:abstractNumId w:val="21"/>
  </w:num>
  <w:num w:numId="28">
    <w:abstractNumId w:val="45"/>
  </w:num>
  <w:num w:numId="29">
    <w:abstractNumId w:val="41"/>
  </w:num>
  <w:num w:numId="30">
    <w:abstractNumId w:val="37"/>
  </w:num>
  <w:num w:numId="31">
    <w:abstractNumId w:val="49"/>
  </w:num>
  <w:num w:numId="32">
    <w:abstractNumId w:val="36"/>
  </w:num>
  <w:num w:numId="33">
    <w:abstractNumId w:val="48"/>
  </w:num>
  <w:num w:numId="34">
    <w:abstractNumId w:val="7"/>
  </w:num>
  <w:num w:numId="35">
    <w:abstractNumId w:val="31"/>
  </w:num>
  <w:num w:numId="36">
    <w:abstractNumId w:val="47"/>
  </w:num>
  <w:num w:numId="37">
    <w:abstractNumId w:val="26"/>
  </w:num>
  <w:num w:numId="38">
    <w:abstractNumId w:val="19"/>
  </w:num>
  <w:num w:numId="39">
    <w:abstractNumId w:val="19"/>
  </w:num>
  <w:num w:numId="40">
    <w:abstractNumId w:val="17"/>
  </w:num>
  <w:num w:numId="41">
    <w:abstractNumId w:val="27"/>
  </w:num>
  <w:num w:numId="42">
    <w:abstractNumId w:val="35"/>
  </w:num>
  <w:num w:numId="43">
    <w:abstractNumId w:val="29"/>
  </w:num>
  <w:num w:numId="44">
    <w:abstractNumId w:val="44"/>
  </w:num>
  <w:num w:numId="45">
    <w:abstractNumId w:val="33"/>
  </w:num>
  <w:num w:numId="46">
    <w:abstractNumId w:val="10"/>
  </w:num>
  <w:num w:numId="47">
    <w:abstractNumId w:val="52"/>
  </w:num>
  <w:num w:numId="48">
    <w:abstractNumId w:val="44"/>
  </w:num>
  <w:num w:numId="49">
    <w:abstractNumId w:val="5"/>
  </w:num>
  <w:num w:numId="50">
    <w:abstractNumId w:val="9"/>
  </w:num>
  <w:num w:numId="51">
    <w:abstractNumId w:val="28"/>
  </w:num>
  <w:num w:numId="52">
    <w:abstractNumId w:val="33"/>
  </w:num>
  <w:num w:numId="53">
    <w:abstractNumId w:val="5"/>
  </w:num>
  <w:num w:numId="54">
    <w:abstractNumId w:val="5"/>
  </w:num>
  <w:num w:numId="55">
    <w:abstractNumId w:val="5"/>
  </w:num>
  <w:num w:numId="56">
    <w:abstractNumId w:val="5"/>
  </w:num>
  <w:num w:numId="57">
    <w:abstractNumId w:val="5"/>
  </w:num>
  <w:num w:numId="58">
    <w:abstractNumId w:val="5"/>
  </w:num>
  <w:num w:numId="59">
    <w:abstractNumId w:val="30"/>
  </w:num>
  <w:num w:numId="60">
    <w:abstractNumId w:val="24"/>
  </w:num>
  <w:num w:numId="61">
    <w:abstractNumId w:val="32"/>
  </w:num>
  <w:num w:numId="62">
    <w:abstractNumId w:val="13"/>
  </w:num>
  <w:num w:numId="63">
    <w:abstractNumId w:val="1"/>
  </w:num>
  <w:num w:numId="64">
    <w:abstractNumId w:val="18"/>
  </w:num>
  <w:num w:numId="65">
    <w:abstractNumId w:val="16"/>
  </w:num>
  <w:num w:numId="66">
    <w:abstractNumId w:val="35"/>
    <w:lvlOverride w:ilvl="0"/>
    <w:lvlOverride w:ilvl="1"/>
    <w:lvlOverride w:ilvl="2"/>
    <w:lvlOverride w:ilvl="3"/>
    <w:lvlOverride w:ilvl="4"/>
    <w:lvlOverride w:ilvl="5"/>
    <w:lvlOverride w:ilvl="6"/>
    <w:lvlOverride w:ilvl="7"/>
    <w:lvlOverride w:ilv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ECA"/>
    <w:rsid w:val="00001E57"/>
    <w:rsid w:val="000025EE"/>
    <w:rsid w:val="0000288A"/>
    <w:rsid w:val="000037CD"/>
    <w:rsid w:val="00004D18"/>
    <w:rsid w:val="00004D55"/>
    <w:rsid w:val="00007513"/>
    <w:rsid w:val="00012F08"/>
    <w:rsid w:val="00013023"/>
    <w:rsid w:val="00014618"/>
    <w:rsid w:val="000158C2"/>
    <w:rsid w:val="00022F69"/>
    <w:rsid w:val="000257E2"/>
    <w:rsid w:val="00031A2B"/>
    <w:rsid w:val="00032A17"/>
    <w:rsid w:val="00035183"/>
    <w:rsid w:val="00036088"/>
    <w:rsid w:val="0004319B"/>
    <w:rsid w:val="00043B54"/>
    <w:rsid w:val="00046718"/>
    <w:rsid w:val="00047C19"/>
    <w:rsid w:val="000518C5"/>
    <w:rsid w:val="00051D27"/>
    <w:rsid w:val="0005236C"/>
    <w:rsid w:val="00054669"/>
    <w:rsid w:val="00060AE4"/>
    <w:rsid w:val="00066E12"/>
    <w:rsid w:val="00071274"/>
    <w:rsid w:val="00073955"/>
    <w:rsid w:val="00073FD4"/>
    <w:rsid w:val="000743C1"/>
    <w:rsid w:val="00076C87"/>
    <w:rsid w:val="000825A1"/>
    <w:rsid w:val="000939DE"/>
    <w:rsid w:val="000954E7"/>
    <w:rsid w:val="00095C0A"/>
    <w:rsid w:val="000B3BEC"/>
    <w:rsid w:val="000C3469"/>
    <w:rsid w:val="000D00A6"/>
    <w:rsid w:val="000D11C1"/>
    <w:rsid w:val="000D11D9"/>
    <w:rsid w:val="000D200B"/>
    <w:rsid w:val="000D27D7"/>
    <w:rsid w:val="000D3731"/>
    <w:rsid w:val="000D5DE2"/>
    <w:rsid w:val="000E29FF"/>
    <w:rsid w:val="000F037F"/>
    <w:rsid w:val="001021A5"/>
    <w:rsid w:val="00110BDE"/>
    <w:rsid w:val="00111E7D"/>
    <w:rsid w:val="00112CF9"/>
    <w:rsid w:val="00113E4A"/>
    <w:rsid w:val="00132C3F"/>
    <w:rsid w:val="00136686"/>
    <w:rsid w:val="0014187F"/>
    <w:rsid w:val="00145A4F"/>
    <w:rsid w:val="001500D2"/>
    <w:rsid w:val="0015430F"/>
    <w:rsid w:val="001563DA"/>
    <w:rsid w:val="00160B81"/>
    <w:rsid w:val="001639C3"/>
    <w:rsid w:val="00172533"/>
    <w:rsid w:val="001728DC"/>
    <w:rsid w:val="00173C91"/>
    <w:rsid w:val="001744D0"/>
    <w:rsid w:val="0018098E"/>
    <w:rsid w:val="00180D2A"/>
    <w:rsid w:val="001810C4"/>
    <w:rsid w:val="00183A3B"/>
    <w:rsid w:val="00187FE0"/>
    <w:rsid w:val="00192D54"/>
    <w:rsid w:val="001930DF"/>
    <w:rsid w:val="001936CE"/>
    <w:rsid w:val="001942F0"/>
    <w:rsid w:val="00197E1B"/>
    <w:rsid w:val="001A4119"/>
    <w:rsid w:val="001A43D1"/>
    <w:rsid w:val="001A4614"/>
    <w:rsid w:val="001A4924"/>
    <w:rsid w:val="001A53B0"/>
    <w:rsid w:val="001B0F2A"/>
    <w:rsid w:val="001B0FC9"/>
    <w:rsid w:val="001B23EB"/>
    <w:rsid w:val="001C07E5"/>
    <w:rsid w:val="001C0A62"/>
    <w:rsid w:val="001C2006"/>
    <w:rsid w:val="001C6EB8"/>
    <w:rsid w:val="001D26BB"/>
    <w:rsid w:val="001D5100"/>
    <w:rsid w:val="001E0BFA"/>
    <w:rsid w:val="001E270B"/>
    <w:rsid w:val="001E331D"/>
    <w:rsid w:val="001E5A21"/>
    <w:rsid w:val="001E5E05"/>
    <w:rsid w:val="001E76F2"/>
    <w:rsid w:val="001F2C7F"/>
    <w:rsid w:val="00200CE9"/>
    <w:rsid w:val="002023CB"/>
    <w:rsid w:val="002205A9"/>
    <w:rsid w:val="00220989"/>
    <w:rsid w:val="0022369D"/>
    <w:rsid w:val="00224317"/>
    <w:rsid w:val="00224739"/>
    <w:rsid w:val="00225A51"/>
    <w:rsid w:val="00227F40"/>
    <w:rsid w:val="0023078F"/>
    <w:rsid w:val="002363D2"/>
    <w:rsid w:val="0024315F"/>
    <w:rsid w:val="002533B6"/>
    <w:rsid w:val="0025523C"/>
    <w:rsid w:val="0026239C"/>
    <w:rsid w:val="002639C7"/>
    <w:rsid w:val="00265094"/>
    <w:rsid w:val="002755D3"/>
    <w:rsid w:val="002766D8"/>
    <w:rsid w:val="00276889"/>
    <w:rsid w:val="002828A8"/>
    <w:rsid w:val="00283AB0"/>
    <w:rsid w:val="00283BEB"/>
    <w:rsid w:val="0028461A"/>
    <w:rsid w:val="002907D3"/>
    <w:rsid w:val="00293771"/>
    <w:rsid w:val="0029533C"/>
    <w:rsid w:val="00295D8A"/>
    <w:rsid w:val="0029685C"/>
    <w:rsid w:val="002A037A"/>
    <w:rsid w:val="002A33C3"/>
    <w:rsid w:val="002A7377"/>
    <w:rsid w:val="002B1552"/>
    <w:rsid w:val="002C170F"/>
    <w:rsid w:val="002C3F5D"/>
    <w:rsid w:val="002D338D"/>
    <w:rsid w:val="002D5530"/>
    <w:rsid w:val="002D672E"/>
    <w:rsid w:val="002D6737"/>
    <w:rsid w:val="002D6BA1"/>
    <w:rsid w:val="002D778D"/>
    <w:rsid w:val="002E6574"/>
    <w:rsid w:val="002E7669"/>
    <w:rsid w:val="002F157B"/>
    <w:rsid w:val="002F1ACD"/>
    <w:rsid w:val="002F229C"/>
    <w:rsid w:val="002F63DC"/>
    <w:rsid w:val="00306799"/>
    <w:rsid w:val="003126CB"/>
    <w:rsid w:val="00312761"/>
    <w:rsid w:val="003171A3"/>
    <w:rsid w:val="00320817"/>
    <w:rsid w:val="00324487"/>
    <w:rsid w:val="0032659A"/>
    <w:rsid w:val="00330DDE"/>
    <w:rsid w:val="00331961"/>
    <w:rsid w:val="003338CA"/>
    <w:rsid w:val="003344CB"/>
    <w:rsid w:val="003373B5"/>
    <w:rsid w:val="003447B6"/>
    <w:rsid w:val="0034645C"/>
    <w:rsid w:val="00347EA5"/>
    <w:rsid w:val="003514CC"/>
    <w:rsid w:val="00351ECA"/>
    <w:rsid w:val="003535E8"/>
    <w:rsid w:val="003561AD"/>
    <w:rsid w:val="003563A9"/>
    <w:rsid w:val="00370558"/>
    <w:rsid w:val="003758AF"/>
    <w:rsid w:val="00381E71"/>
    <w:rsid w:val="0039519C"/>
    <w:rsid w:val="00395A47"/>
    <w:rsid w:val="0039647C"/>
    <w:rsid w:val="003964A7"/>
    <w:rsid w:val="003A2C02"/>
    <w:rsid w:val="003A4AAB"/>
    <w:rsid w:val="003B00C4"/>
    <w:rsid w:val="003B0EC2"/>
    <w:rsid w:val="003B4D94"/>
    <w:rsid w:val="003B69FF"/>
    <w:rsid w:val="003C52A9"/>
    <w:rsid w:val="003C556C"/>
    <w:rsid w:val="003C5ACA"/>
    <w:rsid w:val="003C6A1B"/>
    <w:rsid w:val="003D395E"/>
    <w:rsid w:val="003D5AC7"/>
    <w:rsid w:val="003E1603"/>
    <w:rsid w:val="003E39A2"/>
    <w:rsid w:val="003E7189"/>
    <w:rsid w:val="003F52D0"/>
    <w:rsid w:val="0040158A"/>
    <w:rsid w:val="00405138"/>
    <w:rsid w:val="004116DD"/>
    <w:rsid w:val="004119B5"/>
    <w:rsid w:val="00412190"/>
    <w:rsid w:val="004171EA"/>
    <w:rsid w:val="00424444"/>
    <w:rsid w:val="00426D26"/>
    <w:rsid w:val="004300B9"/>
    <w:rsid w:val="004324F7"/>
    <w:rsid w:val="004464C7"/>
    <w:rsid w:val="00447327"/>
    <w:rsid w:val="004477BC"/>
    <w:rsid w:val="00451963"/>
    <w:rsid w:val="0046089F"/>
    <w:rsid w:val="00463304"/>
    <w:rsid w:val="00472ACC"/>
    <w:rsid w:val="004736D6"/>
    <w:rsid w:val="004739D6"/>
    <w:rsid w:val="00480F00"/>
    <w:rsid w:val="004821E4"/>
    <w:rsid w:val="004849AE"/>
    <w:rsid w:val="00487F2B"/>
    <w:rsid w:val="00490A08"/>
    <w:rsid w:val="00496C8C"/>
    <w:rsid w:val="004A6C7D"/>
    <w:rsid w:val="004A7EE0"/>
    <w:rsid w:val="004B1A4B"/>
    <w:rsid w:val="004B3BA0"/>
    <w:rsid w:val="004B4CAE"/>
    <w:rsid w:val="004B7E35"/>
    <w:rsid w:val="004C083E"/>
    <w:rsid w:val="004C2B24"/>
    <w:rsid w:val="004C462E"/>
    <w:rsid w:val="004C538B"/>
    <w:rsid w:val="004C7146"/>
    <w:rsid w:val="004D209A"/>
    <w:rsid w:val="004D4978"/>
    <w:rsid w:val="004D72E0"/>
    <w:rsid w:val="004E1ADC"/>
    <w:rsid w:val="004E5EE0"/>
    <w:rsid w:val="004E7517"/>
    <w:rsid w:val="004F259F"/>
    <w:rsid w:val="004F4A23"/>
    <w:rsid w:val="004F4DDB"/>
    <w:rsid w:val="004F60BB"/>
    <w:rsid w:val="005017EB"/>
    <w:rsid w:val="005142AF"/>
    <w:rsid w:val="00524112"/>
    <w:rsid w:val="00525C9D"/>
    <w:rsid w:val="00526B97"/>
    <w:rsid w:val="0053082D"/>
    <w:rsid w:val="00531192"/>
    <w:rsid w:val="00533796"/>
    <w:rsid w:val="00536133"/>
    <w:rsid w:val="005362FF"/>
    <w:rsid w:val="00536ECC"/>
    <w:rsid w:val="005419BB"/>
    <w:rsid w:val="00542E43"/>
    <w:rsid w:val="00554685"/>
    <w:rsid w:val="00561332"/>
    <w:rsid w:val="00562545"/>
    <w:rsid w:val="00566BCB"/>
    <w:rsid w:val="0056757C"/>
    <w:rsid w:val="00570105"/>
    <w:rsid w:val="0058072D"/>
    <w:rsid w:val="00583227"/>
    <w:rsid w:val="0058789D"/>
    <w:rsid w:val="005921F8"/>
    <w:rsid w:val="00595B5B"/>
    <w:rsid w:val="00597822"/>
    <w:rsid w:val="00597934"/>
    <w:rsid w:val="005A0B22"/>
    <w:rsid w:val="005A40A6"/>
    <w:rsid w:val="005A59D3"/>
    <w:rsid w:val="005B0169"/>
    <w:rsid w:val="005B1B0C"/>
    <w:rsid w:val="005B2509"/>
    <w:rsid w:val="005B2A30"/>
    <w:rsid w:val="005B4397"/>
    <w:rsid w:val="005B5ECB"/>
    <w:rsid w:val="005B6935"/>
    <w:rsid w:val="005C3AF6"/>
    <w:rsid w:val="005C5357"/>
    <w:rsid w:val="005C724C"/>
    <w:rsid w:val="005D0784"/>
    <w:rsid w:val="005D2009"/>
    <w:rsid w:val="005D3058"/>
    <w:rsid w:val="005D50BD"/>
    <w:rsid w:val="005D54E6"/>
    <w:rsid w:val="005D5D82"/>
    <w:rsid w:val="005D63B0"/>
    <w:rsid w:val="005E0541"/>
    <w:rsid w:val="005F2249"/>
    <w:rsid w:val="005F38CE"/>
    <w:rsid w:val="005F3D18"/>
    <w:rsid w:val="006003EF"/>
    <w:rsid w:val="006107B6"/>
    <w:rsid w:val="0061083B"/>
    <w:rsid w:val="00612CD9"/>
    <w:rsid w:val="00613511"/>
    <w:rsid w:val="00614358"/>
    <w:rsid w:val="00614824"/>
    <w:rsid w:val="006161A1"/>
    <w:rsid w:val="006203AC"/>
    <w:rsid w:val="006231D9"/>
    <w:rsid w:val="0063185B"/>
    <w:rsid w:val="0063270A"/>
    <w:rsid w:val="00634AAD"/>
    <w:rsid w:val="006352F3"/>
    <w:rsid w:val="00640634"/>
    <w:rsid w:val="00640E16"/>
    <w:rsid w:val="0064584A"/>
    <w:rsid w:val="006512AD"/>
    <w:rsid w:val="006522EF"/>
    <w:rsid w:val="00653B68"/>
    <w:rsid w:val="00654C58"/>
    <w:rsid w:val="00655B4D"/>
    <w:rsid w:val="006569DA"/>
    <w:rsid w:val="00661318"/>
    <w:rsid w:val="00666C72"/>
    <w:rsid w:val="00667DA2"/>
    <w:rsid w:val="0067013F"/>
    <w:rsid w:val="00672577"/>
    <w:rsid w:val="00672B53"/>
    <w:rsid w:val="006820D7"/>
    <w:rsid w:val="00685724"/>
    <w:rsid w:val="0069135F"/>
    <w:rsid w:val="00692B9F"/>
    <w:rsid w:val="00695B9B"/>
    <w:rsid w:val="006B17DC"/>
    <w:rsid w:val="006B1F16"/>
    <w:rsid w:val="006B3693"/>
    <w:rsid w:val="006B57C3"/>
    <w:rsid w:val="006C59B4"/>
    <w:rsid w:val="006D2B96"/>
    <w:rsid w:val="006E0712"/>
    <w:rsid w:val="006E0DF6"/>
    <w:rsid w:val="006E25A7"/>
    <w:rsid w:val="006E2BE1"/>
    <w:rsid w:val="006E35BF"/>
    <w:rsid w:val="006E378C"/>
    <w:rsid w:val="006E3EF0"/>
    <w:rsid w:val="006E7C2D"/>
    <w:rsid w:val="006F18CB"/>
    <w:rsid w:val="006F3DCD"/>
    <w:rsid w:val="006F536E"/>
    <w:rsid w:val="006F6665"/>
    <w:rsid w:val="006F66AA"/>
    <w:rsid w:val="006F7989"/>
    <w:rsid w:val="00701A17"/>
    <w:rsid w:val="00702AA2"/>
    <w:rsid w:val="007036FF"/>
    <w:rsid w:val="00704820"/>
    <w:rsid w:val="0070672C"/>
    <w:rsid w:val="0071419F"/>
    <w:rsid w:val="00721CBA"/>
    <w:rsid w:val="007303B8"/>
    <w:rsid w:val="00731A37"/>
    <w:rsid w:val="00733473"/>
    <w:rsid w:val="00734CB6"/>
    <w:rsid w:val="00735405"/>
    <w:rsid w:val="00736486"/>
    <w:rsid w:val="00744E9C"/>
    <w:rsid w:val="00752BDB"/>
    <w:rsid w:val="0075444B"/>
    <w:rsid w:val="00755B9A"/>
    <w:rsid w:val="00765785"/>
    <w:rsid w:val="00765C46"/>
    <w:rsid w:val="00765EC5"/>
    <w:rsid w:val="00772396"/>
    <w:rsid w:val="00772575"/>
    <w:rsid w:val="00782F21"/>
    <w:rsid w:val="00791AEC"/>
    <w:rsid w:val="007921F9"/>
    <w:rsid w:val="00795EE8"/>
    <w:rsid w:val="007A0065"/>
    <w:rsid w:val="007A07DC"/>
    <w:rsid w:val="007A2C1C"/>
    <w:rsid w:val="007A469A"/>
    <w:rsid w:val="007C3B58"/>
    <w:rsid w:val="007C5920"/>
    <w:rsid w:val="007D1600"/>
    <w:rsid w:val="007D1814"/>
    <w:rsid w:val="007D5F6A"/>
    <w:rsid w:val="007E34C5"/>
    <w:rsid w:val="007E3D60"/>
    <w:rsid w:val="007E4AD7"/>
    <w:rsid w:val="007F18CA"/>
    <w:rsid w:val="007F2041"/>
    <w:rsid w:val="007F7333"/>
    <w:rsid w:val="008025A7"/>
    <w:rsid w:val="008033B0"/>
    <w:rsid w:val="00807397"/>
    <w:rsid w:val="00807F41"/>
    <w:rsid w:val="00813882"/>
    <w:rsid w:val="00814E71"/>
    <w:rsid w:val="008169FF"/>
    <w:rsid w:val="00817298"/>
    <w:rsid w:val="00817F72"/>
    <w:rsid w:val="0082057A"/>
    <w:rsid w:val="00825110"/>
    <w:rsid w:val="00825FB6"/>
    <w:rsid w:val="0082722F"/>
    <w:rsid w:val="00827BF8"/>
    <w:rsid w:val="0083084B"/>
    <w:rsid w:val="00830B11"/>
    <w:rsid w:val="00832457"/>
    <w:rsid w:val="00833489"/>
    <w:rsid w:val="00834881"/>
    <w:rsid w:val="00835435"/>
    <w:rsid w:val="008379E5"/>
    <w:rsid w:val="00837BDE"/>
    <w:rsid w:val="0084066F"/>
    <w:rsid w:val="0084660B"/>
    <w:rsid w:val="00850E5B"/>
    <w:rsid w:val="00851F51"/>
    <w:rsid w:val="00873154"/>
    <w:rsid w:val="00875CD3"/>
    <w:rsid w:val="00881211"/>
    <w:rsid w:val="008818CF"/>
    <w:rsid w:val="00887944"/>
    <w:rsid w:val="0089399F"/>
    <w:rsid w:val="008952D0"/>
    <w:rsid w:val="008978A9"/>
    <w:rsid w:val="008A1BC3"/>
    <w:rsid w:val="008A3372"/>
    <w:rsid w:val="008B0931"/>
    <w:rsid w:val="008B42B7"/>
    <w:rsid w:val="008C5D41"/>
    <w:rsid w:val="008D093F"/>
    <w:rsid w:val="008D1C29"/>
    <w:rsid w:val="008D4FCF"/>
    <w:rsid w:val="008D5CD2"/>
    <w:rsid w:val="008E0D42"/>
    <w:rsid w:val="008E1253"/>
    <w:rsid w:val="008E5CFD"/>
    <w:rsid w:val="008F3B61"/>
    <w:rsid w:val="008F7CE0"/>
    <w:rsid w:val="00901247"/>
    <w:rsid w:val="00903039"/>
    <w:rsid w:val="009050A0"/>
    <w:rsid w:val="00905D4A"/>
    <w:rsid w:val="00907247"/>
    <w:rsid w:val="009075DB"/>
    <w:rsid w:val="00910C51"/>
    <w:rsid w:val="00911E1C"/>
    <w:rsid w:val="00911F62"/>
    <w:rsid w:val="00914417"/>
    <w:rsid w:val="00915A97"/>
    <w:rsid w:val="0092505E"/>
    <w:rsid w:val="00925D25"/>
    <w:rsid w:val="00931A58"/>
    <w:rsid w:val="00933FB2"/>
    <w:rsid w:val="00936757"/>
    <w:rsid w:val="00936C69"/>
    <w:rsid w:val="00940123"/>
    <w:rsid w:val="00942B78"/>
    <w:rsid w:val="00946AF2"/>
    <w:rsid w:val="00951D44"/>
    <w:rsid w:val="009527C2"/>
    <w:rsid w:val="00952ED4"/>
    <w:rsid w:val="00957238"/>
    <w:rsid w:val="009574E1"/>
    <w:rsid w:val="00960566"/>
    <w:rsid w:val="00960E3A"/>
    <w:rsid w:val="00961694"/>
    <w:rsid w:val="009627E9"/>
    <w:rsid w:val="009663D0"/>
    <w:rsid w:val="00971F94"/>
    <w:rsid w:val="00976E14"/>
    <w:rsid w:val="00980233"/>
    <w:rsid w:val="009858C0"/>
    <w:rsid w:val="00995A4D"/>
    <w:rsid w:val="00996F1E"/>
    <w:rsid w:val="009A01A1"/>
    <w:rsid w:val="009A38AE"/>
    <w:rsid w:val="009A6428"/>
    <w:rsid w:val="009B33B7"/>
    <w:rsid w:val="009B7209"/>
    <w:rsid w:val="009B7B51"/>
    <w:rsid w:val="009C0835"/>
    <w:rsid w:val="009C0A2A"/>
    <w:rsid w:val="009C48E4"/>
    <w:rsid w:val="009C6498"/>
    <w:rsid w:val="009D060E"/>
    <w:rsid w:val="009D48B0"/>
    <w:rsid w:val="009D5FB8"/>
    <w:rsid w:val="009D68EE"/>
    <w:rsid w:val="009E13E2"/>
    <w:rsid w:val="009E2597"/>
    <w:rsid w:val="009E37CE"/>
    <w:rsid w:val="009F1A1E"/>
    <w:rsid w:val="009F25E8"/>
    <w:rsid w:val="009F31C1"/>
    <w:rsid w:val="00A008EB"/>
    <w:rsid w:val="00A00D64"/>
    <w:rsid w:val="00A01490"/>
    <w:rsid w:val="00A10D52"/>
    <w:rsid w:val="00A12717"/>
    <w:rsid w:val="00A20272"/>
    <w:rsid w:val="00A220E4"/>
    <w:rsid w:val="00A22D26"/>
    <w:rsid w:val="00A27601"/>
    <w:rsid w:val="00A3137E"/>
    <w:rsid w:val="00A31BCD"/>
    <w:rsid w:val="00A325F6"/>
    <w:rsid w:val="00A36CB3"/>
    <w:rsid w:val="00A41A64"/>
    <w:rsid w:val="00A42C53"/>
    <w:rsid w:val="00A53D08"/>
    <w:rsid w:val="00A54072"/>
    <w:rsid w:val="00A557DA"/>
    <w:rsid w:val="00A630C1"/>
    <w:rsid w:val="00A63BF8"/>
    <w:rsid w:val="00A653E6"/>
    <w:rsid w:val="00A66517"/>
    <w:rsid w:val="00A670DD"/>
    <w:rsid w:val="00A72000"/>
    <w:rsid w:val="00A726EC"/>
    <w:rsid w:val="00A74B02"/>
    <w:rsid w:val="00A754D2"/>
    <w:rsid w:val="00A77DE1"/>
    <w:rsid w:val="00A808E5"/>
    <w:rsid w:val="00A838D9"/>
    <w:rsid w:val="00A84D99"/>
    <w:rsid w:val="00A86D3A"/>
    <w:rsid w:val="00A95FE0"/>
    <w:rsid w:val="00A97B1B"/>
    <w:rsid w:val="00AA167B"/>
    <w:rsid w:val="00AA2640"/>
    <w:rsid w:val="00AA4328"/>
    <w:rsid w:val="00AA76A4"/>
    <w:rsid w:val="00AA794F"/>
    <w:rsid w:val="00AB0D34"/>
    <w:rsid w:val="00AB3BB6"/>
    <w:rsid w:val="00AC05C2"/>
    <w:rsid w:val="00AC098B"/>
    <w:rsid w:val="00AC1A48"/>
    <w:rsid w:val="00AC225E"/>
    <w:rsid w:val="00AD6182"/>
    <w:rsid w:val="00AF5390"/>
    <w:rsid w:val="00B02A30"/>
    <w:rsid w:val="00B03D83"/>
    <w:rsid w:val="00B11EED"/>
    <w:rsid w:val="00B12AD8"/>
    <w:rsid w:val="00B138B1"/>
    <w:rsid w:val="00B1411D"/>
    <w:rsid w:val="00B1502C"/>
    <w:rsid w:val="00B16A91"/>
    <w:rsid w:val="00B17BB8"/>
    <w:rsid w:val="00B17DDC"/>
    <w:rsid w:val="00B20ADC"/>
    <w:rsid w:val="00B20DF9"/>
    <w:rsid w:val="00B225A7"/>
    <w:rsid w:val="00B22F60"/>
    <w:rsid w:val="00B2421C"/>
    <w:rsid w:val="00B24AEC"/>
    <w:rsid w:val="00B27B7A"/>
    <w:rsid w:val="00B33776"/>
    <w:rsid w:val="00B33CA7"/>
    <w:rsid w:val="00B367C3"/>
    <w:rsid w:val="00B372E8"/>
    <w:rsid w:val="00B377C1"/>
    <w:rsid w:val="00B37841"/>
    <w:rsid w:val="00B37EF5"/>
    <w:rsid w:val="00B45EA7"/>
    <w:rsid w:val="00B476D5"/>
    <w:rsid w:val="00B477A4"/>
    <w:rsid w:val="00B52F8C"/>
    <w:rsid w:val="00B570EC"/>
    <w:rsid w:val="00B60A2D"/>
    <w:rsid w:val="00B63D94"/>
    <w:rsid w:val="00B64F13"/>
    <w:rsid w:val="00B72F9F"/>
    <w:rsid w:val="00B74AFA"/>
    <w:rsid w:val="00B90ADD"/>
    <w:rsid w:val="00B90F51"/>
    <w:rsid w:val="00B91C83"/>
    <w:rsid w:val="00B92389"/>
    <w:rsid w:val="00B9429F"/>
    <w:rsid w:val="00B94E91"/>
    <w:rsid w:val="00B96BD8"/>
    <w:rsid w:val="00BA0E23"/>
    <w:rsid w:val="00BA5DAF"/>
    <w:rsid w:val="00BA714B"/>
    <w:rsid w:val="00BB2E69"/>
    <w:rsid w:val="00BB3347"/>
    <w:rsid w:val="00BB5512"/>
    <w:rsid w:val="00BB561D"/>
    <w:rsid w:val="00BB73B6"/>
    <w:rsid w:val="00BC267B"/>
    <w:rsid w:val="00BC2979"/>
    <w:rsid w:val="00BC2B8D"/>
    <w:rsid w:val="00BD456C"/>
    <w:rsid w:val="00BD6256"/>
    <w:rsid w:val="00BE0DE8"/>
    <w:rsid w:val="00BE72BD"/>
    <w:rsid w:val="00BE7FEE"/>
    <w:rsid w:val="00BF26F7"/>
    <w:rsid w:val="00BF5C69"/>
    <w:rsid w:val="00BF5F6A"/>
    <w:rsid w:val="00C00E82"/>
    <w:rsid w:val="00C1291D"/>
    <w:rsid w:val="00C14318"/>
    <w:rsid w:val="00C2002B"/>
    <w:rsid w:val="00C22A56"/>
    <w:rsid w:val="00C25EB4"/>
    <w:rsid w:val="00C30E2A"/>
    <w:rsid w:val="00C33F2C"/>
    <w:rsid w:val="00C3530A"/>
    <w:rsid w:val="00C35F4D"/>
    <w:rsid w:val="00C361A5"/>
    <w:rsid w:val="00C43793"/>
    <w:rsid w:val="00C45D82"/>
    <w:rsid w:val="00C50288"/>
    <w:rsid w:val="00C568F0"/>
    <w:rsid w:val="00C573F4"/>
    <w:rsid w:val="00C6435A"/>
    <w:rsid w:val="00C64C57"/>
    <w:rsid w:val="00C654B1"/>
    <w:rsid w:val="00C70C36"/>
    <w:rsid w:val="00C71333"/>
    <w:rsid w:val="00C71AEC"/>
    <w:rsid w:val="00C7474D"/>
    <w:rsid w:val="00C80E21"/>
    <w:rsid w:val="00C8440E"/>
    <w:rsid w:val="00C84B81"/>
    <w:rsid w:val="00C8557A"/>
    <w:rsid w:val="00C92ED0"/>
    <w:rsid w:val="00C96D51"/>
    <w:rsid w:val="00CA0EA9"/>
    <w:rsid w:val="00CB2C2D"/>
    <w:rsid w:val="00CB63BC"/>
    <w:rsid w:val="00CC0F4C"/>
    <w:rsid w:val="00CD3655"/>
    <w:rsid w:val="00CD3FED"/>
    <w:rsid w:val="00CD6089"/>
    <w:rsid w:val="00CE432D"/>
    <w:rsid w:val="00CF4D96"/>
    <w:rsid w:val="00CF65A3"/>
    <w:rsid w:val="00CF74C6"/>
    <w:rsid w:val="00CF7699"/>
    <w:rsid w:val="00CF77CC"/>
    <w:rsid w:val="00D00C23"/>
    <w:rsid w:val="00D03C6D"/>
    <w:rsid w:val="00D040EA"/>
    <w:rsid w:val="00D0538E"/>
    <w:rsid w:val="00D05765"/>
    <w:rsid w:val="00D057CB"/>
    <w:rsid w:val="00D06DA3"/>
    <w:rsid w:val="00D07A58"/>
    <w:rsid w:val="00D15C43"/>
    <w:rsid w:val="00D162BB"/>
    <w:rsid w:val="00D17E0E"/>
    <w:rsid w:val="00D20A7F"/>
    <w:rsid w:val="00D20CE7"/>
    <w:rsid w:val="00D213B2"/>
    <w:rsid w:val="00D21BA4"/>
    <w:rsid w:val="00D22AEC"/>
    <w:rsid w:val="00D2767A"/>
    <w:rsid w:val="00D31F86"/>
    <w:rsid w:val="00D33B01"/>
    <w:rsid w:val="00D33E86"/>
    <w:rsid w:val="00D34791"/>
    <w:rsid w:val="00D51993"/>
    <w:rsid w:val="00D52282"/>
    <w:rsid w:val="00D532E9"/>
    <w:rsid w:val="00D532FB"/>
    <w:rsid w:val="00D55A83"/>
    <w:rsid w:val="00D56F50"/>
    <w:rsid w:val="00D646F6"/>
    <w:rsid w:val="00D659FF"/>
    <w:rsid w:val="00D66E4B"/>
    <w:rsid w:val="00D74876"/>
    <w:rsid w:val="00D77136"/>
    <w:rsid w:val="00D831E2"/>
    <w:rsid w:val="00D83DAC"/>
    <w:rsid w:val="00D842A7"/>
    <w:rsid w:val="00D85C86"/>
    <w:rsid w:val="00D91232"/>
    <w:rsid w:val="00D95BA1"/>
    <w:rsid w:val="00D95FBD"/>
    <w:rsid w:val="00DA63CB"/>
    <w:rsid w:val="00DA6A7C"/>
    <w:rsid w:val="00DA6D80"/>
    <w:rsid w:val="00DB27FB"/>
    <w:rsid w:val="00DB315C"/>
    <w:rsid w:val="00DB3949"/>
    <w:rsid w:val="00DB607D"/>
    <w:rsid w:val="00DC1580"/>
    <w:rsid w:val="00DC17EB"/>
    <w:rsid w:val="00DC28D1"/>
    <w:rsid w:val="00DC41F3"/>
    <w:rsid w:val="00DD0B5B"/>
    <w:rsid w:val="00DD1078"/>
    <w:rsid w:val="00DD3B8F"/>
    <w:rsid w:val="00DD7463"/>
    <w:rsid w:val="00DE52BE"/>
    <w:rsid w:val="00DE7023"/>
    <w:rsid w:val="00DF29FB"/>
    <w:rsid w:val="00DF2D27"/>
    <w:rsid w:val="00DF4C01"/>
    <w:rsid w:val="00E06226"/>
    <w:rsid w:val="00E063F5"/>
    <w:rsid w:val="00E14277"/>
    <w:rsid w:val="00E14AE9"/>
    <w:rsid w:val="00E15857"/>
    <w:rsid w:val="00E2188A"/>
    <w:rsid w:val="00E21CE7"/>
    <w:rsid w:val="00E30BD3"/>
    <w:rsid w:val="00E36C84"/>
    <w:rsid w:val="00E45C1E"/>
    <w:rsid w:val="00E51E65"/>
    <w:rsid w:val="00E52743"/>
    <w:rsid w:val="00E52AD1"/>
    <w:rsid w:val="00E52D36"/>
    <w:rsid w:val="00E534C4"/>
    <w:rsid w:val="00E545E0"/>
    <w:rsid w:val="00E56439"/>
    <w:rsid w:val="00E633BA"/>
    <w:rsid w:val="00E67633"/>
    <w:rsid w:val="00E721C8"/>
    <w:rsid w:val="00E76331"/>
    <w:rsid w:val="00E84598"/>
    <w:rsid w:val="00E86534"/>
    <w:rsid w:val="00E91C85"/>
    <w:rsid w:val="00EA0ED2"/>
    <w:rsid w:val="00EA223F"/>
    <w:rsid w:val="00EA2AF3"/>
    <w:rsid w:val="00EA48C5"/>
    <w:rsid w:val="00EA5865"/>
    <w:rsid w:val="00EC2ECC"/>
    <w:rsid w:val="00EC6C5D"/>
    <w:rsid w:val="00EC70E1"/>
    <w:rsid w:val="00ED5BBF"/>
    <w:rsid w:val="00ED6695"/>
    <w:rsid w:val="00EE276D"/>
    <w:rsid w:val="00EE4636"/>
    <w:rsid w:val="00EE4A93"/>
    <w:rsid w:val="00EE4D75"/>
    <w:rsid w:val="00EE7F7C"/>
    <w:rsid w:val="00EF1099"/>
    <w:rsid w:val="00EF408B"/>
    <w:rsid w:val="00F1120D"/>
    <w:rsid w:val="00F12AEA"/>
    <w:rsid w:val="00F20765"/>
    <w:rsid w:val="00F20920"/>
    <w:rsid w:val="00F22EB4"/>
    <w:rsid w:val="00F24543"/>
    <w:rsid w:val="00F3086B"/>
    <w:rsid w:val="00F41004"/>
    <w:rsid w:val="00F41918"/>
    <w:rsid w:val="00F52C9D"/>
    <w:rsid w:val="00F544E2"/>
    <w:rsid w:val="00F6003B"/>
    <w:rsid w:val="00F602C4"/>
    <w:rsid w:val="00F609F3"/>
    <w:rsid w:val="00F64338"/>
    <w:rsid w:val="00F67E4B"/>
    <w:rsid w:val="00F70E43"/>
    <w:rsid w:val="00F74074"/>
    <w:rsid w:val="00F76DAC"/>
    <w:rsid w:val="00F81402"/>
    <w:rsid w:val="00F81501"/>
    <w:rsid w:val="00F82576"/>
    <w:rsid w:val="00F918A5"/>
    <w:rsid w:val="00F9519C"/>
    <w:rsid w:val="00F96391"/>
    <w:rsid w:val="00FA5A0F"/>
    <w:rsid w:val="00FA5BA9"/>
    <w:rsid w:val="00FA66AC"/>
    <w:rsid w:val="00FA6B05"/>
    <w:rsid w:val="00FA6E82"/>
    <w:rsid w:val="00FA7FD1"/>
    <w:rsid w:val="00FD104D"/>
    <w:rsid w:val="00FD2168"/>
    <w:rsid w:val="00FE7220"/>
    <w:rsid w:val="00FF0576"/>
    <w:rsid w:val="00FF45FC"/>
    <w:rsid w:val="00FF5F52"/>
    <w:rsid w:val="00FF642A"/>
    <w:rsid w:val="00FF65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4B8A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665"/>
  </w:style>
  <w:style w:type="paragraph" w:styleId="Heading1">
    <w:name w:val="heading 1"/>
    <w:basedOn w:val="Normal"/>
    <w:next w:val="Normal"/>
    <w:link w:val="Heading1Char"/>
    <w:uiPriority w:val="9"/>
    <w:qFormat/>
    <w:rsid w:val="00351E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42B7"/>
    <w:pPr>
      <w:keepNext/>
      <w:keepLines/>
      <w:spacing w:line="240" w:lineRule="auto"/>
      <w:jc w:val="both"/>
      <w:outlineLvl w:val="1"/>
    </w:pPr>
    <w:rPr>
      <w:rFonts w:eastAsiaTheme="majorEastAsia" w:cstheme="majorBidi"/>
      <w:b/>
      <w:color w:val="2E74B5" w:themeColor="accent1" w:themeShade="BF"/>
      <w:sz w:val="26"/>
      <w:szCs w:val="26"/>
    </w:rPr>
  </w:style>
  <w:style w:type="paragraph" w:styleId="Heading3">
    <w:name w:val="heading 3"/>
    <w:basedOn w:val="Heading2"/>
    <w:next w:val="Normal"/>
    <w:link w:val="Heading3Char"/>
    <w:uiPriority w:val="9"/>
    <w:unhideWhenUsed/>
    <w:qFormat/>
    <w:rsid w:val="008B42B7"/>
    <w:pPr>
      <w:spacing w:before="240" w:after="120"/>
      <w:outlineLvl w:val="2"/>
    </w:pPr>
  </w:style>
  <w:style w:type="paragraph" w:styleId="Heading4">
    <w:name w:val="heading 4"/>
    <w:basedOn w:val="Normal"/>
    <w:next w:val="Normal"/>
    <w:link w:val="Heading4Char"/>
    <w:uiPriority w:val="9"/>
    <w:semiHidden/>
    <w:unhideWhenUsed/>
    <w:qFormat/>
    <w:rsid w:val="00EA2AF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EC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B42B7"/>
    <w:rPr>
      <w:rFonts w:eastAsiaTheme="majorEastAsia" w:cstheme="majorBidi"/>
      <w:b/>
      <w:color w:val="2E74B5" w:themeColor="accent1" w:themeShade="BF"/>
      <w:sz w:val="26"/>
      <w:szCs w:val="26"/>
    </w:rPr>
  </w:style>
  <w:style w:type="character" w:styleId="CommentReference">
    <w:name w:val="annotation reference"/>
    <w:basedOn w:val="DefaultParagraphFont"/>
    <w:uiPriority w:val="99"/>
    <w:unhideWhenUsed/>
    <w:rsid w:val="00351ECA"/>
    <w:rPr>
      <w:sz w:val="16"/>
      <w:szCs w:val="16"/>
    </w:rPr>
  </w:style>
  <w:style w:type="paragraph" w:styleId="CommentText">
    <w:name w:val="annotation text"/>
    <w:basedOn w:val="Normal"/>
    <w:link w:val="CommentTextChar"/>
    <w:uiPriority w:val="99"/>
    <w:unhideWhenUsed/>
    <w:rsid w:val="00351ECA"/>
    <w:pPr>
      <w:spacing w:line="240" w:lineRule="auto"/>
    </w:pPr>
    <w:rPr>
      <w:sz w:val="20"/>
      <w:szCs w:val="20"/>
    </w:rPr>
  </w:style>
  <w:style w:type="character" w:customStyle="1" w:styleId="CommentTextChar">
    <w:name w:val="Comment Text Char"/>
    <w:basedOn w:val="DefaultParagraphFont"/>
    <w:link w:val="CommentText"/>
    <w:uiPriority w:val="99"/>
    <w:rsid w:val="00351ECA"/>
    <w:rPr>
      <w:sz w:val="20"/>
      <w:szCs w:val="20"/>
    </w:rPr>
  </w:style>
  <w:style w:type="paragraph" w:styleId="ListParagraph">
    <w:name w:val="List Paragraph"/>
    <w:basedOn w:val="Normal"/>
    <w:link w:val="ListParagraphChar"/>
    <w:uiPriority w:val="34"/>
    <w:qFormat/>
    <w:rsid w:val="00351ECA"/>
    <w:pPr>
      <w:spacing w:before="40" w:after="40" w:line="240" w:lineRule="auto"/>
      <w:contextualSpacing/>
    </w:pPr>
    <w:rPr>
      <w:rFonts w:ascii="Arial" w:eastAsia="Times New Roman" w:hAnsi="Arial" w:cs="Times New Roman"/>
      <w:color w:val="3B3838" w:themeColor="background2" w:themeShade="40"/>
      <w:sz w:val="20"/>
      <w:szCs w:val="24"/>
      <w:lang w:eastAsia="en-AU"/>
    </w:rPr>
  </w:style>
  <w:style w:type="character" w:styleId="Hyperlink">
    <w:name w:val="Hyperlink"/>
    <w:basedOn w:val="DefaultParagraphFont"/>
    <w:uiPriority w:val="99"/>
    <w:unhideWhenUsed/>
    <w:rsid w:val="00351ECA"/>
    <w:rPr>
      <w:color w:val="0563C1" w:themeColor="hyperlink"/>
      <w:u w:val="single"/>
    </w:rPr>
  </w:style>
  <w:style w:type="paragraph" w:styleId="FootnoteText">
    <w:name w:val="footnote text"/>
    <w:basedOn w:val="Normal"/>
    <w:link w:val="FootnoteTextChar"/>
    <w:semiHidden/>
    <w:unhideWhenUsed/>
    <w:rsid w:val="00351ECA"/>
    <w:pPr>
      <w:spacing w:after="0" w:line="240" w:lineRule="auto"/>
    </w:pPr>
    <w:rPr>
      <w:sz w:val="20"/>
      <w:szCs w:val="20"/>
    </w:rPr>
  </w:style>
  <w:style w:type="character" w:customStyle="1" w:styleId="FootnoteTextChar">
    <w:name w:val="Footnote Text Char"/>
    <w:basedOn w:val="DefaultParagraphFont"/>
    <w:link w:val="FootnoteText"/>
    <w:semiHidden/>
    <w:rsid w:val="00351ECA"/>
    <w:rPr>
      <w:sz w:val="20"/>
      <w:szCs w:val="20"/>
    </w:rPr>
  </w:style>
  <w:style w:type="character" w:styleId="FootnoteReference">
    <w:name w:val="footnote reference"/>
    <w:basedOn w:val="DefaultParagraphFont"/>
    <w:semiHidden/>
    <w:unhideWhenUsed/>
    <w:rsid w:val="00351ECA"/>
    <w:rPr>
      <w:vertAlign w:val="superscript"/>
    </w:rPr>
  </w:style>
  <w:style w:type="paragraph" w:styleId="Header">
    <w:name w:val="header"/>
    <w:basedOn w:val="Normal"/>
    <w:link w:val="HeaderChar"/>
    <w:uiPriority w:val="99"/>
    <w:unhideWhenUsed/>
    <w:rsid w:val="00351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ECA"/>
  </w:style>
  <w:style w:type="paragraph" w:styleId="Footer">
    <w:name w:val="footer"/>
    <w:basedOn w:val="Normal"/>
    <w:link w:val="FooterChar"/>
    <w:uiPriority w:val="99"/>
    <w:unhideWhenUsed/>
    <w:rsid w:val="00351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ECA"/>
  </w:style>
  <w:style w:type="paragraph" w:styleId="TOCHeading">
    <w:name w:val="TOC Heading"/>
    <w:basedOn w:val="Heading1"/>
    <w:next w:val="Normal"/>
    <w:uiPriority w:val="39"/>
    <w:unhideWhenUsed/>
    <w:qFormat/>
    <w:rsid w:val="00351ECA"/>
    <w:pPr>
      <w:outlineLvl w:val="9"/>
    </w:pPr>
    <w:rPr>
      <w:lang w:val="en-US"/>
    </w:rPr>
  </w:style>
  <w:style w:type="paragraph" w:styleId="TOC1">
    <w:name w:val="toc 1"/>
    <w:basedOn w:val="Normal"/>
    <w:next w:val="Normal"/>
    <w:autoRedefine/>
    <w:uiPriority w:val="39"/>
    <w:unhideWhenUsed/>
    <w:rsid w:val="00351ECA"/>
    <w:pPr>
      <w:tabs>
        <w:tab w:val="right" w:leader="dot" w:pos="9016"/>
      </w:tabs>
      <w:spacing w:after="100"/>
    </w:pPr>
  </w:style>
  <w:style w:type="paragraph" w:styleId="TOC2">
    <w:name w:val="toc 2"/>
    <w:basedOn w:val="Normal"/>
    <w:next w:val="Normal"/>
    <w:autoRedefine/>
    <w:uiPriority w:val="39"/>
    <w:unhideWhenUsed/>
    <w:rsid w:val="00351ECA"/>
    <w:pPr>
      <w:spacing w:after="100"/>
      <w:ind w:left="220"/>
    </w:pPr>
  </w:style>
  <w:style w:type="paragraph" w:styleId="BalloonText">
    <w:name w:val="Balloon Text"/>
    <w:basedOn w:val="Normal"/>
    <w:link w:val="BalloonTextChar"/>
    <w:uiPriority w:val="99"/>
    <w:semiHidden/>
    <w:unhideWhenUsed/>
    <w:rsid w:val="00351E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EC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755D3"/>
    <w:rPr>
      <w:b/>
      <w:bCs/>
    </w:rPr>
  </w:style>
  <w:style w:type="character" w:customStyle="1" w:styleId="CommentSubjectChar">
    <w:name w:val="Comment Subject Char"/>
    <w:basedOn w:val="CommentTextChar"/>
    <w:link w:val="CommentSubject"/>
    <w:uiPriority w:val="99"/>
    <w:semiHidden/>
    <w:rsid w:val="002755D3"/>
    <w:rPr>
      <w:b/>
      <w:bCs/>
      <w:sz w:val="20"/>
      <w:szCs w:val="20"/>
    </w:rPr>
  </w:style>
  <w:style w:type="character" w:styleId="FollowedHyperlink">
    <w:name w:val="FollowedHyperlink"/>
    <w:basedOn w:val="DefaultParagraphFont"/>
    <w:uiPriority w:val="99"/>
    <w:semiHidden/>
    <w:unhideWhenUsed/>
    <w:rsid w:val="009A6428"/>
    <w:rPr>
      <w:color w:val="954F72" w:themeColor="followedHyperlink"/>
      <w:u w:val="single"/>
    </w:rPr>
  </w:style>
  <w:style w:type="paragraph" w:styleId="Revision">
    <w:name w:val="Revision"/>
    <w:hidden/>
    <w:uiPriority w:val="99"/>
    <w:semiHidden/>
    <w:rsid w:val="00BB561D"/>
    <w:pPr>
      <w:spacing w:after="0" w:line="240" w:lineRule="auto"/>
    </w:pPr>
  </w:style>
  <w:style w:type="paragraph" w:styleId="BodyText">
    <w:name w:val="Body Text"/>
    <w:basedOn w:val="Normal"/>
    <w:link w:val="BodyTextChar"/>
    <w:uiPriority w:val="1"/>
    <w:qFormat/>
    <w:rsid w:val="00597822"/>
    <w:pPr>
      <w:widowControl w:val="0"/>
      <w:spacing w:before="58" w:after="0" w:line="240" w:lineRule="auto"/>
      <w:ind w:left="1020"/>
    </w:pPr>
    <w:rPr>
      <w:rFonts w:ascii="Neo Sans Pro" w:eastAsia="Neo Sans Pro" w:hAnsi="Neo Sans Pro"/>
      <w:sz w:val="19"/>
      <w:szCs w:val="19"/>
      <w:lang w:val="en-US"/>
    </w:rPr>
  </w:style>
  <w:style w:type="character" w:customStyle="1" w:styleId="BodyTextChar">
    <w:name w:val="Body Text Char"/>
    <w:basedOn w:val="DefaultParagraphFont"/>
    <w:link w:val="BodyText"/>
    <w:uiPriority w:val="1"/>
    <w:rsid w:val="00597822"/>
    <w:rPr>
      <w:rFonts w:ascii="Neo Sans Pro" w:eastAsia="Neo Sans Pro" w:hAnsi="Neo Sans Pro"/>
      <w:sz w:val="19"/>
      <w:szCs w:val="19"/>
      <w:lang w:val="en-US"/>
    </w:rPr>
  </w:style>
  <w:style w:type="paragraph" w:customStyle="1" w:styleId="Bullet">
    <w:name w:val="Bullet"/>
    <w:basedOn w:val="Normal"/>
    <w:uiPriority w:val="99"/>
    <w:qFormat/>
    <w:rsid w:val="00160B81"/>
    <w:pPr>
      <w:numPr>
        <w:numId w:val="11"/>
      </w:numPr>
      <w:spacing w:after="120" w:line="240" w:lineRule="auto"/>
    </w:pPr>
    <w:rPr>
      <w:rFonts w:eastAsia="Times New Roman" w:cs="Times New Roman"/>
      <w:sz w:val="24"/>
      <w:szCs w:val="20"/>
    </w:rPr>
  </w:style>
  <w:style w:type="paragraph" w:styleId="Title">
    <w:name w:val="Title"/>
    <w:basedOn w:val="Normal"/>
    <w:next w:val="Normal"/>
    <w:link w:val="TitleChar"/>
    <w:uiPriority w:val="10"/>
    <w:qFormat/>
    <w:rsid w:val="004739D6"/>
    <w:pPr>
      <w:jc w:val="center"/>
    </w:pPr>
    <w:rPr>
      <w:b/>
      <w:color w:val="2E74B5" w:themeColor="accent1" w:themeShade="BF"/>
      <w:sz w:val="52"/>
      <w:szCs w:val="52"/>
    </w:rPr>
  </w:style>
  <w:style w:type="character" w:customStyle="1" w:styleId="TitleChar">
    <w:name w:val="Title Char"/>
    <w:basedOn w:val="DefaultParagraphFont"/>
    <w:link w:val="Title"/>
    <w:uiPriority w:val="10"/>
    <w:rsid w:val="004739D6"/>
    <w:rPr>
      <w:b/>
      <w:color w:val="2E74B5" w:themeColor="accent1" w:themeShade="BF"/>
      <w:sz w:val="52"/>
      <w:szCs w:val="52"/>
    </w:rPr>
  </w:style>
  <w:style w:type="character" w:customStyle="1" w:styleId="Heading3Char">
    <w:name w:val="Heading 3 Char"/>
    <w:basedOn w:val="DefaultParagraphFont"/>
    <w:link w:val="Heading3"/>
    <w:uiPriority w:val="9"/>
    <w:rsid w:val="008B42B7"/>
    <w:rPr>
      <w:rFonts w:eastAsiaTheme="majorEastAsia" w:cstheme="majorBidi"/>
      <w:b/>
      <w:color w:val="2E74B5" w:themeColor="accent1" w:themeShade="BF"/>
      <w:sz w:val="26"/>
      <w:szCs w:val="26"/>
    </w:rPr>
  </w:style>
  <w:style w:type="character" w:styleId="Emphasis">
    <w:name w:val="Emphasis"/>
    <w:basedOn w:val="DefaultParagraphFont"/>
    <w:uiPriority w:val="20"/>
    <w:qFormat/>
    <w:rsid w:val="006F7989"/>
    <w:rPr>
      <w:i/>
      <w:iCs/>
    </w:rPr>
  </w:style>
  <w:style w:type="paragraph" w:customStyle="1" w:styleId="Default">
    <w:name w:val="Default"/>
    <w:rsid w:val="007C3B58"/>
    <w:pPr>
      <w:autoSpaceDE w:val="0"/>
      <w:autoSpaceDN w:val="0"/>
      <w:adjustRightInd w:val="0"/>
      <w:spacing w:after="0" w:line="240" w:lineRule="auto"/>
    </w:pPr>
    <w:rPr>
      <w:rFonts w:ascii="Arial" w:hAnsi="Arial" w:cs="Arial"/>
      <w:color w:val="000000"/>
      <w:sz w:val="24"/>
      <w:szCs w:val="24"/>
    </w:rPr>
  </w:style>
  <w:style w:type="paragraph" w:styleId="TOC3">
    <w:name w:val="toc 3"/>
    <w:basedOn w:val="Normal"/>
    <w:next w:val="Normal"/>
    <w:autoRedefine/>
    <w:uiPriority w:val="39"/>
    <w:unhideWhenUsed/>
    <w:rsid w:val="00851F51"/>
    <w:pPr>
      <w:spacing w:after="100"/>
      <w:ind w:left="440"/>
    </w:pPr>
  </w:style>
  <w:style w:type="character" w:customStyle="1" w:styleId="ListParagraphChar">
    <w:name w:val="List Paragraph Char"/>
    <w:basedOn w:val="DefaultParagraphFont"/>
    <w:link w:val="ListParagraph"/>
    <w:uiPriority w:val="34"/>
    <w:locked/>
    <w:rsid w:val="00E534C4"/>
    <w:rPr>
      <w:rFonts w:ascii="Arial" w:eastAsia="Times New Roman" w:hAnsi="Arial" w:cs="Times New Roman"/>
      <w:color w:val="3B3838" w:themeColor="background2" w:themeShade="40"/>
      <w:sz w:val="20"/>
      <w:szCs w:val="24"/>
      <w:lang w:eastAsia="en-AU"/>
    </w:rPr>
  </w:style>
  <w:style w:type="table" w:styleId="TableGrid">
    <w:name w:val="Table Grid"/>
    <w:basedOn w:val="TableNormal"/>
    <w:uiPriority w:val="39"/>
    <w:rsid w:val="001B2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A2AF3"/>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ED6695"/>
    <w:rPr>
      <w:color w:val="605E5C"/>
      <w:shd w:val="clear" w:color="auto" w:fill="E1DFDD"/>
    </w:rPr>
  </w:style>
  <w:style w:type="paragraph" w:styleId="ListBullet">
    <w:name w:val="List Bullet"/>
    <w:aliases w:val="l,list no space after,(NECG) List Bullet,*List Bullet,lb,Body bullet,UL,List Bullet 1,List Bullet Char,List Bullet Char2,List Bullet Char1 Char,List Bullet Char Char Char1,List Bullet Char Char1,List Bullet Char2 Char Char,l11"/>
    <w:basedOn w:val="BodyText"/>
    <w:uiPriority w:val="99"/>
    <w:unhideWhenUsed/>
    <w:rsid w:val="00661318"/>
    <w:pPr>
      <w:widowControl/>
      <w:numPr>
        <w:numId w:val="61"/>
      </w:numPr>
      <w:spacing w:before="120" w:after="120" w:line="280" w:lineRule="atLeast"/>
      <w:jc w:val="both"/>
    </w:pPr>
    <w:rPr>
      <w:rFonts w:ascii="Univers 45 Light" w:eastAsiaTheme="minorEastAsia" w:hAnsi="Univers 45 Light"/>
      <w:color w:val="000000"/>
      <w:sz w:val="20"/>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632">
      <w:bodyDiv w:val="1"/>
      <w:marLeft w:val="0"/>
      <w:marRight w:val="0"/>
      <w:marTop w:val="0"/>
      <w:marBottom w:val="0"/>
      <w:divBdr>
        <w:top w:val="none" w:sz="0" w:space="0" w:color="auto"/>
        <w:left w:val="none" w:sz="0" w:space="0" w:color="auto"/>
        <w:bottom w:val="none" w:sz="0" w:space="0" w:color="auto"/>
        <w:right w:val="none" w:sz="0" w:space="0" w:color="auto"/>
      </w:divBdr>
    </w:div>
    <w:div w:id="102043996">
      <w:bodyDiv w:val="1"/>
      <w:marLeft w:val="0"/>
      <w:marRight w:val="0"/>
      <w:marTop w:val="0"/>
      <w:marBottom w:val="0"/>
      <w:divBdr>
        <w:top w:val="none" w:sz="0" w:space="0" w:color="auto"/>
        <w:left w:val="none" w:sz="0" w:space="0" w:color="auto"/>
        <w:bottom w:val="none" w:sz="0" w:space="0" w:color="auto"/>
        <w:right w:val="none" w:sz="0" w:space="0" w:color="auto"/>
      </w:divBdr>
    </w:div>
    <w:div w:id="118761637">
      <w:bodyDiv w:val="1"/>
      <w:marLeft w:val="0"/>
      <w:marRight w:val="0"/>
      <w:marTop w:val="0"/>
      <w:marBottom w:val="0"/>
      <w:divBdr>
        <w:top w:val="none" w:sz="0" w:space="0" w:color="auto"/>
        <w:left w:val="none" w:sz="0" w:space="0" w:color="auto"/>
        <w:bottom w:val="none" w:sz="0" w:space="0" w:color="auto"/>
        <w:right w:val="none" w:sz="0" w:space="0" w:color="auto"/>
      </w:divBdr>
    </w:div>
    <w:div w:id="146095593">
      <w:bodyDiv w:val="1"/>
      <w:marLeft w:val="0"/>
      <w:marRight w:val="0"/>
      <w:marTop w:val="0"/>
      <w:marBottom w:val="0"/>
      <w:divBdr>
        <w:top w:val="none" w:sz="0" w:space="0" w:color="auto"/>
        <w:left w:val="none" w:sz="0" w:space="0" w:color="auto"/>
        <w:bottom w:val="none" w:sz="0" w:space="0" w:color="auto"/>
        <w:right w:val="none" w:sz="0" w:space="0" w:color="auto"/>
      </w:divBdr>
    </w:div>
    <w:div w:id="179903688">
      <w:bodyDiv w:val="1"/>
      <w:marLeft w:val="0"/>
      <w:marRight w:val="0"/>
      <w:marTop w:val="0"/>
      <w:marBottom w:val="0"/>
      <w:divBdr>
        <w:top w:val="none" w:sz="0" w:space="0" w:color="auto"/>
        <w:left w:val="none" w:sz="0" w:space="0" w:color="auto"/>
        <w:bottom w:val="none" w:sz="0" w:space="0" w:color="auto"/>
        <w:right w:val="none" w:sz="0" w:space="0" w:color="auto"/>
      </w:divBdr>
    </w:div>
    <w:div w:id="186022539">
      <w:bodyDiv w:val="1"/>
      <w:marLeft w:val="0"/>
      <w:marRight w:val="0"/>
      <w:marTop w:val="0"/>
      <w:marBottom w:val="0"/>
      <w:divBdr>
        <w:top w:val="none" w:sz="0" w:space="0" w:color="auto"/>
        <w:left w:val="none" w:sz="0" w:space="0" w:color="auto"/>
        <w:bottom w:val="none" w:sz="0" w:space="0" w:color="auto"/>
        <w:right w:val="none" w:sz="0" w:space="0" w:color="auto"/>
      </w:divBdr>
    </w:div>
    <w:div w:id="200677349">
      <w:bodyDiv w:val="1"/>
      <w:marLeft w:val="0"/>
      <w:marRight w:val="0"/>
      <w:marTop w:val="0"/>
      <w:marBottom w:val="0"/>
      <w:divBdr>
        <w:top w:val="none" w:sz="0" w:space="0" w:color="auto"/>
        <w:left w:val="none" w:sz="0" w:space="0" w:color="auto"/>
        <w:bottom w:val="none" w:sz="0" w:space="0" w:color="auto"/>
        <w:right w:val="none" w:sz="0" w:space="0" w:color="auto"/>
      </w:divBdr>
    </w:div>
    <w:div w:id="330985804">
      <w:bodyDiv w:val="1"/>
      <w:marLeft w:val="0"/>
      <w:marRight w:val="0"/>
      <w:marTop w:val="0"/>
      <w:marBottom w:val="0"/>
      <w:divBdr>
        <w:top w:val="none" w:sz="0" w:space="0" w:color="auto"/>
        <w:left w:val="none" w:sz="0" w:space="0" w:color="auto"/>
        <w:bottom w:val="none" w:sz="0" w:space="0" w:color="auto"/>
        <w:right w:val="none" w:sz="0" w:space="0" w:color="auto"/>
      </w:divBdr>
      <w:divsChild>
        <w:div w:id="1632127110">
          <w:marLeft w:val="360"/>
          <w:marRight w:val="0"/>
          <w:marTop w:val="200"/>
          <w:marBottom w:val="0"/>
          <w:divBdr>
            <w:top w:val="none" w:sz="0" w:space="0" w:color="auto"/>
            <w:left w:val="none" w:sz="0" w:space="0" w:color="auto"/>
            <w:bottom w:val="none" w:sz="0" w:space="0" w:color="auto"/>
            <w:right w:val="none" w:sz="0" w:space="0" w:color="auto"/>
          </w:divBdr>
        </w:div>
        <w:div w:id="935791292">
          <w:marLeft w:val="360"/>
          <w:marRight w:val="0"/>
          <w:marTop w:val="200"/>
          <w:marBottom w:val="0"/>
          <w:divBdr>
            <w:top w:val="none" w:sz="0" w:space="0" w:color="auto"/>
            <w:left w:val="none" w:sz="0" w:space="0" w:color="auto"/>
            <w:bottom w:val="none" w:sz="0" w:space="0" w:color="auto"/>
            <w:right w:val="none" w:sz="0" w:space="0" w:color="auto"/>
          </w:divBdr>
        </w:div>
        <w:div w:id="1703631205">
          <w:marLeft w:val="360"/>
          <w:marRight w:val="0"/>
          <w:marTop w:val="200"/>
          <w:marBottom w:val="0"/>
          <w:divBdr>
            <w:top w:val="none" w:sz="0" w:space="0" w:color="auto"/>
            <w:left w:val="none" w:sz="0" w:space="0" w:color="auto"/>
            <w:bottom w:val="none" w:sz="0" w:space="0" w:color="auto"/>
            <w:right w:val="none" w:sz="0" w:space="0" w:color="auto"/>
          </w:divBdr>
        </w:div>
      </w:divsChild>
    </w:div>
    <w:div w:id="422999197">
      <w:bodyDiv w:val="1"/>
      <w:marLeft w:val="0"/>
      <w:marRight w:val="0"/>
      <w:marTop w:val="0"/>
      <w:marBottom w:val="0"/>
      <w:divBdr>
        <w:top w:val="none" w:sz="0" w:space="0" w:color="auto"/>
        <w:left w:val="none" w:sz="0" w:space="0" w:color="auto"/>
        <w:bottom w:val="none" w:sz="0" w:space="0" w:color="auto"/>
        <w:right w:val="none" w:sz="0" w:space="0" w:color="auto"/>
      </w:divBdr>
    </w:div>
    <w:div w:id="605845269">
      <w:bodyDiv w:val="1"/>
      <w:marLeft w:val="0"/>
      <w:marRight w:val="0"/>
      <w:marTop w:val="0"/>
      <w:marBottom w:val="0"/>
      <w:divBdr>
        <w:top w:val="none" w:sz="0" w:space="0" w:color="auto"/>
        <w:left w:val="none" w:sz="0" w:space="0" w:color="auto"/>
        <w:bottom w:val="none" w:sz="0" w:space="0" w:color="auto"/>
        <w:right w:val="none" w:sz="0" w:space="0" w:color="auto"/>
      </w:divBdr>
    </w:div>
    <w:div w:id="636956452">
      <w:bodyDiv w:val="1"/>
      <w:marLeft w:val="0"/>
      <w:marRight w:val="0"/>
      <w:marTop w:val="0"/>
      <w:marBottom w:val="0"/>
      <w:divBdr>
        <w:top w:val="none" w:sz="0" w:space="0" w:color="auto"/>
        <w:left w:val="none" w:sz="0" w:space="0" w:color="auto"/>
        <w:bottom w:val="none" w:sz="0" w:space="0" w:color="auto"/>
        <w:right w:val="none" w:sz="0" w:space="0" w:color="auto"/>
      </w:divBdr>
      <w:divsChild>
        <w:div w:id="365758716">
          <w:marLeft w:val="562"/>
          <w:marRight w:val="0"/>
          <w:marTop w:val="200"/>
          <w:marBottom w:val="0"/>
          <w:divBdr>
            <w:top w:val="none" w:sz="0" w:space="0" w:color="auto"/>
            <w:left w:val="none" w:sz="0" w:space="0" w:color="auto"/>
            <w:bottom w:val="none" w:sz="0" w:space="0" w:color="auto"/>
            <w:right w:val="none" w:sz="0" w:space="0" w:color="auto"/>
          </w:divBdr>
        </w:div>
      </w:divsChild>
    </w:div>
    <w:div w:id="647326316">
      <w:bodyDiv w:val="1"/>
      <w:marLeft w:val="0"/>
      <w:marRight w:val="0"/>
      <w:marTop w:val="0"/>
      <w:marBottom w:val="0"/>
      <w:divBdr>
        <w:top w:val="none" w:sz="0" w:space="0" w:color="auto"/>
        <w:left w:val="none" w:sz="0" w:space="0" w:color="auto"/>
        <w:bottom w:val="none" w:sz="0" w:space="0" w:color="auto"/>
        <w:right w:val="none" w:sz="0" w:space="0" w:color="auto"/>
      </w:divBdr>
    </w:div>
    <w:div w:id="780419483">
      <w:bodyDiv w:val="1"/>
      <w:marLeft w:val="0"/>
      <w:marRight w:val="0"/>
      <w:marTop w:val="0"/>
      <w:marBottom w:val="0"/>
      <w:divBdr>
        <w:top w:val="none" w:sz="0" w:space="0" w:color="auto"/>
        <w:left w:val="none" w:sz="0" w:space="0" w:color="auto"/>
        <w:bottom w:val="none" w:sz="0" w:space="0" w:color="auto"/>
        <w:right w:val="none" w:sz="0" w:space="0" w:color="auto"/>
      </w:divBdr>
    </w:div>
    <w:div w:id="906721407">
      <w:bodyDiv w:val="1"/>
      <w:marLeft w:val="0"/>
      <w:marRight w:val="0"/>
      <w:marTop w:val="0"/>
      <w:marBottom w:val="0"/>
      <w:divBdr>
        <w:top w:val="none" w:sz="0" w:space="0" w:color="auto"/>
        <w:left w:val="none" w:sz="0" w:space="0" w:color="auto"/>
        <w:bottom w:val="none" w:sz="0" w:space="0" w:color="auto"/>
        <w:right w:val="none" w:sz="0" w:space="0" w:color="auto"/>
      </w:divBdr>
    </w:div>
    <w:div w:id="990058568">
      <w:bodyDiv w:val="1"/>
      <w:marLeft w:val="0"/>
      <w:marRight w:val="0"/>
      <w:marTop w:val="0"/>
      <w:marBottom w:val="0"/>
      <w:divBdr>
        <w:top w:val="none" w:sz="0" w:space="0" w:color="auto"/>
        <w:left w:val="none" w:sz="0" w:space="0" w:color="auto"/>
        <w:bottom w:val="none" w:sz="0" w:space="0" w:color="auto"/>
        <w:right w:val="none" w:sz="0" w:space="0" w:color="auto"/>
      </w:divBdr>
    </w:div>
    <w:div w:id="1003781594">
      <w:bodyDiv w:val="1"/>
      <w:marLeft w:val="0"/>
      <w:marRight w:val="0"/>
      <w:marTop w:val="0"/>
      <w:marBottom w:val="0"/>
      <w:divBdr>
        <w:top w:val="none" w:sz="0" w:space="0" w:color="auto"/>
        <w:left w:val="none" w:sz="0" w:space="0" w:color="auto"/>
        <w:bottom w:val="none" w:sz="0" w:space="0" w:color="auto"/>
        <w:right w:val="none" w:sz="0" w:space="0" w:color="auto"/>
      </w:divBdr>
      <w:divsChild>
        <w:div w:id="1066879920">
          <w:marLeft w:val="446"/>
          <w:marRight w:val="0"/>
          <w:marTop w:val="0"/>
          <w:marBottom w:val="0"/>
          <w:divBdr>
            <w:top w:val="none" w:sz="0" w:space="0" w:color="auto"/>
            <w:left w:val="none" w:sz="0" w:space="0" w:color="auto"/>
            <w:bottom w:val="none" w:sz="0" w:space="0" w:color="auto"/>
            <w:right w:val="none" w:sz="0" w:space="0" w:color="auto"/>
          </w:divBdr>
        </w:div>
      </w:divsChild>
    </w:div>
    <w:div w:id="1030573146">
      <w:bodyDiv w:val="1"/>
      <w:marLeft w:val="0"/>
      <w:marRight w:val="0"/>
      <w:marTop w:val="0"/>
      <w:marBottom w:val="0"/>
      <w:divBdr>
        <w:top w:val="none" w:sz="0" w:space="0" w:color="auto"/>
        <w:left w:val="none" w:sz="0" w:space="0" w:color="auto"/>
        <w:bottom w:val="none" w:sz="0" w:space="0" w:color="auto"/>
        <w:right w:val="none" w:sz="0" w:space="0" w:color="auto"/>
      </w:divBdr>
    </w:div>
    <w:div w:id="1084373415">
      <w:bodyDiv w:val="1"/>
      <w:marLeft w:val="0"/>
      <w:marRight w:val="0"/>
      <w:marTop w:val="0"/>
      <w:marBottom w:val="0"/>
      <w:divBdr>
        <w:top w:val="none" w:sz="0" w:space="0" w:color="auto"/>
        <w:left w:val="none" w:sz="0" w:space="0" w:color="auto"/>
        <w:bottom w:val="none" w:sz="0" w:space="0" w:color="auto"/>
        <w:right w:val="none" w:sz="0" w:space="0" w:color="auto"/>
      </w:divBdr>
    </w:div>
    <w:div w:id="1125731470">
      <w:bodyDiv w:val="1"/>
      <w:marLeft w:val="0"/>
      <w:marRight w:val="0"/>
      <w:marTop w:val="0"/>
      <w:marBottom w:val="0"/>
      <w:divBdr>
        <w:top w:val="none" w:sz="0" w:space="0" w:color="auto"/>
        <w:left w:val="none" w:sz="0" w:space="0" w:color="auto"/>
        <w:bottom w:val="none" w:sz="0" w:space="0" w:color="auto"/>
        <w:right w:val="none" w:sz="0" w:space="0" w:color="auto"/>
      </w:divBdr>
    </w:div>
    <w:div w:id="1244333982">
      <w:bodyDiv w:val="1"/>
      <w:marLeft w:val="0"/>
      <w:marRight w:val="0"/>
      <w:marTop w:val="0"/>
      <w:marBottom w:val="0"/>
      <w:divBdr>
        <w:top w:val="none" w:sz="0" w:space="0" w:color="auto"/>
        <w:left w:val="none" w:sz="0" w:space="0" w:color="auto"/>
        <w:bottom w:val="none" w:sz="0" w:space="0" w:color="auto"/>
        <w:right w:val="none" w:sz="0" w:space="0" w:color="auto"/>
      </w:divBdr>
    </w:div>
    <w:div w:id="1247299653">
      <w:bodyDiv w:val="1"/>
      <w:marLeft w:val="0"/>
      <w:marRight w:val="0"/>
      <w:marTop w:val="0"/>
      <w:marBottom w:val="0"/>
      <w:divBdr>
        <w:top w:val="none" w:sz="0" w:space="0" w:color="auto"/>
        <w:left w:val="none" w:sz="0" w:space="0" w:color="auto"/>
        <w:bottom w:val="none" w:sz="0" w:space="0" w:color="auto"/>
        <w:right w:val="none" w:sz="0" w:space="0" w:color="auto"/>
      </w:divBdr>
    </w:div>
    <w:div w:id="1260017160">
      <w:bodyDiv w:val="1"/>
      <w:marLeft w:val="0"/>
      <w:marRight w:val="0"/>
      <w:marTop w:val="0"/>
      <w:marBottom w:val="0"/>
      <w:divBdr>
        <w:top w:val="none" w:sz="0" w:space="0" w:color="auto"/>
        <w:left w:val="none" w:sz="0" w:space="0" w:color="auto"/>
        <w:bottom w:val="none" w:sz="0" w:space="0" w:color="auto"/>
        <w:right w:val="none" w:sz="0" w:space="0" w:color="auto"/>
      </w:divBdr>
    </w:div>
    <w:div w:id="1334605834">
      <w:bodyDiv w:val="1"/>
      <w:marLeft w:val="0"/>
      <w:marRight w:val="0"/>
      <w:marTop w:val="0"/>
      <w:marBottom w:val="0"/>
      <w:divBdr>
        <w:top w:val="none" w:sz="0" w:space="0" w:color="auto"/>
        <w:left w:val="none" w:sz="0" w:space="0" w:color="auto"/>
        <w:bottom w:val="none" w:sz="0" w:space="0" w:color="auto"/>
        <w:right w:val="none" w:sz="0" w:space="0" w:color="auto"/>
      </w:divBdr>
    </w:div>
    <w:div w:id="1344628171">
      <w:bodyDiv w:val="1"/>
      <w:marLeft w:val="0"/>
      <w:marRight w:val="0"/>
      <w:marTop w:val="0"/>
      <w:marBottom w:val="0"/>
      <w:divBdr>
        <w:top w:val="none" w:sz="0" w:space="0" w:color="auto"/>
        <w:left w:val="none" w:sz="0" w:space="0" w:color="auto"/>
        <w:bottom w:val="none" w:sz="0" w:space="0" w:color="auto"/>
        <w:right w:val="none" w:sz="0" w:space="0" w:color="auto"/>
      </w:divBdr>
    </w:div>
    <w:div w:id="1372535698">
      <w:bodyDiv w:val="1"/>
      <w:marLeft w:val="0"/>
      <w:marRight w:val="0"/>
      <w:marTop w:val="0"/>
      <w:marBottom w:val="0"/>
      <w:divBdr>
        <w:top w:val="none" w:sz="0" w:space="0" w:color="auto"/>
        <w:left w:val="none" w:sz="0" w:space="0" w:color="auto"/>
        <w:bottom w:val="none" w:sz="0" w:space="0" w:color="auto"/>
        <w:right w:val="none" w:sz="0" w:space="0" w:color="auto"/>
      </w:divBdr>
    </w:div>
    <w:div w:id="1379671860">
      <w:bodyDiv w:val="1"/>
      <w:marLeft w:val="0"/>
      <w:marRight w:val="0"/>
      <w:marTop w:val="0"/>
      <w:marBottom w:val="0"/>
      <w:divBdr>
        <w:top w:val="none" w:sz="0" w:space="0" w:color="auto"/>
        <w:left w:val="none" w:sz="0" w:space="0" w:color="auto"/>
        <w:bottom w:val="none" w:sz="0" w:space="0" w:color="auto"/>
        <w:right w:val="none" w:sz="0" w:space="0" w:color="auto"/>
      </w:divBdr>
    </w:div>
    <w:div w:id="1451706525">
      <w:bodyDiv w:val="1"/>
      <w:marLeft w:val="0"/>
      <w:marRight w:val="0"/>
      <w:marTop w:val="0"/>
      <w:marBottom w:val="0"/>
      <w:divBdr>
        <w:top w:val="none" w:sz="0" w:space="0" w:color="auto"/>
        <w:left w:val="none" w:sz="0" w:space="0" w:color="auto"/>
        <w:bottom w:val="none" w:sz="0" w:space="0" w:color="auto"/>
        <w:right w:val="none" w:sz="0" w:space="0" w:color="auto"/>
      </w:divBdr>
    </w:div>
    <w:div w:id="1602104343">
      <w:bodyDiv w:val="1"/>
      <w:marLeft w:val="0"/>
      <w:marRight w:val="0"/>
      <w:marTop w:val="0"/>
      <w:marBottom w:val="0"/>
      <w:divBdr>
        <w:top w:val="none" w:sz="0" w:space="0" w:color="auto"/>
        <w:left w:val="none" w:sz="0" w:space="0" w:color="auto"/>
        <w:bottom w:val="none" w:sz="0" w:space="0" w:color="auto"/>
        <w:right w:val="none" w:sz="0" w:space="0" w:color="auto"/>
      </w:divBdr>
    </w:div>
    <w:div w:id="1708143284">
      <w:bodyDiv w:val="1"/>
      <w:marLeft w:val="0"/>
      <w:marRight w:val="0"/>
      <w:marTop w:val="0"/>
      <w:marBottom w:val="0"/>
      <w:divBdr>
        <w:top w:val="none" w:sz="0" w:space="0" w:color="auto"/>
        <w:left w:val="none" w:sz="0" w:space="0" w:color="auto"/>
        <w:bottom w:val="none" w:sz="0" w:space="0" w:color="auto"/>
        <w:right w:val="none" w:sz="0" w:space="0" w:color="auto"/>
      </w:divBdr>
    </w:div>
    <w:div w:id="1732540736">
      <w:bodyDiv w:val="1"/>
      <w:marLeft w:val="0"/>
      <w:marRight w:val="0"/>
      <w:marTop w:val="0"/>
      <w:marBottom w:val="0"/>
      <w:divBdr>
        <w:top w:val="none" w:sz="0" w:space="0" w:color="auto"/>
        <w:left w:val="none" w:sz="0" w:space="0" w:color="auto"/>
        <w:bottom w:val="none" w:sz="0" w:space="0" w:color="auto"/>
        <w:right w:val="none" w:sz="0" w:space="0" w:color="auto"/>
      </w:divBdr>
    </w:div>
    <w:div w:id="1755591129">
      <w:bodyDiv w:val="1"/>
      <w:marLeft w:val="0"/>
      <w:marRight w:val="0"/>
      <w:marTop w:val="0"/>
      <w:marBottom w:val="0"/>
      <w:divBdr>
        <w:top w:val="none" w:sz="0" w:space="0" w:color="auto"/>
        <w:left w:val="none" w:sz="0" w:space="0" w:color="auto"/>
        <w:bottom w:val="none" w:sz="0" w:space="0" w:color="auto"/>
        <w:right w:val="none" w:sz="0" w:space="0" w:color="auto"/>
      </w:divBdr>
    </w:div>
    <w:div w:id="1771505568">
      <w:bodyDiv w:val="1"/>
      <w:marLeft w:val="0"/>
      <w:marRight w:val="0"/>
      <w:marTop w:val="0"/>
      <w:marBottom w:val="0"/>
      <w:divBdr>
        <w:top w:val="none" w:sz="0" w:space="0" w:color="auto"/>
        <w:left w:val="none" w:sz="0" w:space="0" w:color="auto"/>
        <w:bottom w:val="none" w:sz="0" w:space="0" w:color="auto"/>
        <w:right w:val="none" w:sz="0" w:space="0" w:color="auto"/>
      </w:divBdr>
    </w:div>
    <w:div w:id="1776511378">
      <w:bodyDiv w:val="1"/>
      <w:marLeft w:val="0"/>
      <w:marRight w:val="0"/>
      <w:marTop w:val="0"/>
      <w:marBottom w:val="0"/>
      <w:divBdr>
        <w:top w:val="none" w:sz="0" w:space="0" w:color="auto"/>
        <w:left w:val="none" w:sz="0" w:space="0" w:color="auto"/>
        <w:bottom w:val="none" w:sz="0" w:space="0" w:color="auto"/>
        <w:right w:val="none" w:sz="0" w:space="0" w:color="auto"/>
      </w:divBdr>
    </w:div>
    <w:div w:id="1837838090">
      <w:bodyDiv w:val="1"/>
      <w:marLeft w:val="0"/>
      <w:marRight w:val="0"/>
      <w:marTop w:val="0"/>
      <w:marBottom w:val="0"/>
      <w:divBdr>
        <w:top w:val="none" w:sz="0" w:space="0" w:color="auto"/>
        <w:left w:val="none" w:sz="0" w:space="0" w:color="auto"/>
        <w:bottom w:val="none" w:sz="0" w:space="0" w:color="auto"/>
        <w:right w:val="none" w:sz="0" w:space="0" w:color="auto"/>
      </w:divBdr>
    </w:div>
    <w:div w:id="1840608724">
      <w:bodyDiv w:val="1"/>
      <w:marLeft w:val="0"/>
      <w:marRight w:val="0"/>
      <w:marTop w:val="0"/>
      <w:marBottom w:val="0"/>
      <w:divBdr>
        <w:top w:val="none" w:sz="0" w:space="0" w:color="auto"/>
        <w:left w:val="none" w:sz="0" w:space="0" w:color="auto"/>
        <w:bottom w:val="none" w:sz="0" w:space="0" w:color="auto"/>
        <w:right w:val="none" w:sz="0" w:space="0" w:color="auto"/>
      </w:divBdr>
    </w:div>
    <w:div w:id="1874030775">
      <w:bodyDiv w:val="1"/>
      <w:marLeft w:val="0"/>
      <w:marRight w:val="0"/>
      <w:marTop w:val="0"/>
      <w:marBottom w:val="0"/>
      <w:divBdr>
        <w:top w:val="none" w:sz="0" w:space="0" w:color="auto"/>
        <w:left w:val="none" w:sz="0" w:space="0" w:color="auto"/>
        <w:bottom w:val="none" w:sz="0" w:space="0" w:color="auto"/>
        <w:right w:val="none" w:sz="0" w:space="0" w:color="auto"/>
      </w:divBdr>
    </w:div>
    <w:div w:id="1910967214">
      <w:bodyDiv w:val="1"/>
      <w:marLeft w:val="0"/>
      <w:marRight w:val="0"/>
      <w:marTop w:val="0"/>
      <w:marBottom w:val="0"/>
      <w:divBdr>
        <w:top w:val="none" w:sz="0" w:space="0" w:color="auto"/>
        <w:left w:val="none" w:sz="0" w:space="0" w:color="auto"/>
        <w:bottom w:val="none" w:sz="0" w:space="0" w:color="auto"/>
        <w:right w:val="none" w:sz="0" w:space="0" w:color="auto"/>
      </w:divBdr>
    </w:div>
    <w:div w:id="1941911956">
      <w:bodyDiv w:val="1"/>
      <w:marLeft w:val="0"/>
      <w:marRight w:val="0"/>
      <w:marTop w:val="0"/>
      <w:marBottom w:val="0"/>
      <w:divBdr>
        <w:top w:val="none" w:sz="0" w:space="0" w:color="auto"/>
        <w:left w:val="none" w:sz="0" w:space="0" w:color="auto"/>
        <w:bottom w:val="none" w:sz="0" w:space="0" w:color="auto"/>
        <w:right w:val="none" w:sz="0" w:space="0" w:color="auto"/>
      </w:divBdr>
    </w:div>
    <w:div w:id="2061249821">
      <w:bodyDiv w:val="1"/>
      <w:marLeft w:val="0"/>
      <w:marRight w:val="0"/>
      <w:marTop w:val="0"/>
      <w:marBottom w:val="0"/>
      <w:divBdr>
        <w:top w:val="none" w:sz="0" w:space="0" w:color="auto"/>
        <w:left w:val="none" w:sz="0" w:space="0" w:color="auto"/>
        <w:bottom w:val="none" w:sz="0" w:space="0" w:color="auto"/>
        <w:right w:val="none" w:sz="0" w:space="0" w:color="auto"/>
      </w:divBdr>
    </w:div>
    <w:div w:id="2118133733">
      <w:bodyDiv w:val="1"/>
      <w:marLeft w:val="0"/>
      <w:marRight w:val="0"/>
      <w:marTop w:val="0"/>
      <w:marBottom w:val="0"/>
      <w:divBdr>
        <w:top w:val="none" w:sz="0" w:space="0" w:color="auto"/>
        <w:left w:val="none" w:sz="0" w:space="0" w:color="auto"/>
        <w:bottom w:val="none" w:sz="0" w:space="0" w:color="auto"/>
        <w:right w:val="none" w:sz="0" w:space="0" w:color="auto"/>
      </w:divBdr>
    </w:div>
    <w:div w:id="2132548248">
      <w:bodyDiv w:val="1"/>
      <w:marLeft w:val="0"/>
      <w:marRight w:val="0"/>
      <w:marTop w:val="0"/>
      <w:marBottom w:val="0"/>
      <w:divBdr>
        <w:top w:val="none" w:sz="0" w:space="0" w:color="auto"/>
        <w:left w:val="none" w:sz="0" w:space="0" w:color="auto"/>
        <w:bottom w:val="none" w:sz="0" w:space="0" w:color="auto"/>
        <w:right w:val="none" w:sz="0" w:space="0" w:color="auto"/>
      </w:divBdr>
      <w:divsChild>
        <w:div w:id="852305254">
          <w:marLeft w:val="562"/>
          <w:marRight w:val="0"/>
          <w:marTop w:val="200"/>
          <w:marBottom w:val="0"/>
          <w:divBdr>
            <w:top w:val="none" w:sz="0" w:space="0" w:color="auto"/>
            <w:left w:val="none" w:sz="0" w:space="0" w:color="auto"/>
            <w:bottom w:val="none" w:sz="0" w:space="0" w:color="auto"/>
            <w:right w:val="none" w:sz="0" w:space="0" w:color="auto"/>
          </w:divBdr>
        </w:div>
        <w:div w:id="2036811558">
          <w:marLeft w:val="562"/>
          <w:marRight w:val="0"/>
          <w:marTop w:val="200"/>
          <w:marBottom w:val="0"/>
          <w:divBdr>
            <w:top w:val="none" w:sz="0" w:space="0" w:color="auto"/>
            <w:left w:val="none" w:sz="0" w:space="0" w:color="auto"/>
            <w:bottom w:val="none" w:sz="0" w:space="0" w:color="auto"/>
            <w:right w:val="none" w:sz="0" w:space="0" w:color="auto"/>
          </w:divBdr>
        </w:div>
        <w:div w:id="744034432">
          <w:marLeft w:val="562"/>
          <w:marRight w:val="0"/>
          <w:marTop w:val="200"/>
          <w:marBottom w:val="0"/>
          <w:divBdr>
            <w:top w:val="none" w:sz="0" w:space="0" w:color="auto"/>
            <w:left w:val="none" w:sz="0" w:space="0" w:color="auto"/>
            <w:bottom w:val="none" w:sz="0" w:space="0" w:color="auto"/>
            <w:right w:val="none" w:sz="0" w:space="0" w:color="auto"/>
          </w:divBdr>
        </w:div>
      </w:divsChild>
    </w:div>
    <w:div w:id="213721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nopta.gov.au/joint-authorities.html" TargetMode="External"/><Relationship Id="rId3" Type="http://schemas.openxmlformats.org/officeDocument/2006/relationships/customXml" Target="../customXml/item3.xml"/><Relationship Id="rId21" Type="http://schemas.openxmlformats.org/officeDocument/2006/relationships/hyperlink" Target="https://www.nopta.gov.au/media/stakeholder-survey/index.htm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www.nopta.gov.au/guidelines-and-factsheets/index.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nopta.gov.au/about.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feedback@nopta.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nopta.gov.au/about.html"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nopta.gov.au/media/self-assessment/inde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nopta.gov.au/legislation-and-compliance/index.html" TargetMode="External"/><Relationship Id="rId27" Type="http://schemas.openxmlformats.org/officeDocument/2006/relationships/hyperlink" Target="mailto:feedback@nopta.gov.au"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nopta.gov.au/guidelines-and-factsheets/offshore-petroleum-guidelines.html" TargetMode="External"/><Relationship Id="rId1" Type="http://schemas.openxmlformats.org/officeDocument/2006/relationships/hyperlink" Target="https://www.nopta.gov.au/joint-authoritie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NOPTA Base Document" ma:contentTypeID="0x01010063547D135F865547B104B3688A6EB0DB000BEF560CD256AF4FA90F147677CFBA51" ma:contentTypeVersion="2491" ma:contentTypeDescription="Create a new document." ma:contentTypeScope="" ma:versionID="d2c534765c5b62bb9fdbed9367a74844">
  <xsd:schema xmlns:xsd="http://www.w3.org/2001/XMLSchema" xmlns:xs="http://www.w3.org/2001/XMLSchema" xmlns:p="http://schemas.microsoft.com/office/2006/metadata/properties" xmlns:ns1="http://schemas.microsoft.com/sharepoint/v3" xmlns:ns2="7012054d-3a07-4b40-940b-a148fc76e5c4" xmlns:ns3="8c6e6013-7e1b-4606-837f-d759a63b5bd0" xmlns:ns5="52dc7aab-46dc-41e6-af17-5786de2149dd" targetNamespace="http://schemas.microsoft.com/office/2006/metadata/properties" ma:root="true" ma:fieldsID="892ec42b0af875ea0b0465487dc30e02" ns1:_="" ns2:_="" ns3:_="" ns5:_="">
    <xsd:import namespace="http://schemas.microsoft.com/sharepoint/v3"/>
    <xsd:import namespace="7012054d-3a07-4b40-940b-a148fc76e5c4"/>
    <xsd:import namespace="8c6e6013-7e1b-4606-837f-d759a63b5bd0"/>
    <xsd:import namespace="52dc7aab-46dc-41e6-af17-5786de2149dd"/>
    <xsd:element name="properties">
      <xsd:complexType>
        <xsd:sequence>
          <xsd:element name="documentManagement">
            <xsd:complexType>
              <xsd:all>
                <xsd:element ref="ns2:AGRkMSDescription" minOccurs="0"/>
                <xsd:element ref="ns2:SecurityClassification"/>
                <xsd:element ref="ns2:RightsType"/>
                <xsd:element ref="ns2:OfNationalSignificance"/>
                <xsd:element ref="ns1:DocumentSetDescription" minOccurs="0"/>
                <xsd:element ref="ns3:FinancialMonth" minOccurs="0"/>
                <xsd:element ref="ns3:FinancialYear" minOccurs="0"/>
                <xsd:element ref="ns2:Team_Note" minOccurs="0"/>
                <xsd:element ref="ns2:TaxCatchAll" minOccurs="0"/>
                <xsd:element ref="ns2:BusinessFunction_Note" minOccurs="0"/>
                <xsd:element ref="ns2:DocumentType_Note" minOccurs="0"/>
                <xsd:element ref="ns2:pfcb0be319e247388db2251ff9d23f72" minOccurs="0"/>
                <xsd:element ref="ns2:g91dc4f691a04421b1edf463601fabf6" minOccurs="0"/>
                <xsd:element ref="ns2:_dlc_DocId" minOccurs="0"/>
                <xsd:element ref="ns2:_dlc_DocIdUrl" minOccurs="0"/>
                <xsd:element ref="ns2:_dlc_DocIdPersistId" minOccurs="0"/>
                <xsd:element ref="ns2:Titles_Note" minOccurs="0"/>
                <xsd:element ref="ns2:Jurisdiction" minOccurs="0"/>
                <xsd:element ref="ns2:CaveatText"/>
                <xsd:element ref="ns2:CaveatCategory"/>
                <xsd:element ref="ns2:RightsStatement" minOccurs="0"/>
                <xsd:element ref="ns2:AGRkMSCategory"/>
                <xsd:element ref="ns2:AGRkMSLanguage"/>
                <xsd:element ref="ns2:JurisdictionalCoverage" minOccurs="0"/>
                <xsd:element ref="ns2:TemporalCoverage" minOccurs="0"/>
                <xsd:element ref="ns2:SpatialCoverage" minOccurs="0"/>
                <xsd:element ref="ns2:KeywordID" minOccurs="0"/>
                <xsd:element ref="ns2:KeywordScheme" minOccurs="0"/>
                <xsd:element ref="ns2:KeywordSchemeType" minOccurs="0"/>
                <xsd:element ref="ns2:FormatName" minOccurs="0"/>
                <xsd:element ref="ns2:FormatVersion" minOccurs="0"/>
                <xsd:element ref="ns2:CreatingApplicationName" minOccurs="0"/>
                <xsd:element ref="ns2:CreatingApplicationVersion" minOccurs="0"/>
                <xsd:element ref="ns2:FormatRegistry" minOccurs="0"/>
                <xsd:element ref="ns2:Quantity" minOccurs="0"/>
                <xsd:element ref="ns2:Units" minOccurs="0"/>
                <xsd:element ref="ns2:Medium" minOccurs="0"/>
                <xsd:element ref="ns2:HashFunctionName"/>
                <xsd:element ref="ns2:MessageDigest" minOccurs="0"/>
                <xsd:element ref="ns2:RecordKeywords" minOccurs="0"/>
                <xsd:element ref="ns2:DateRangeStart" minOccurs="0"/>
                <xsd:element ref="ns2:DateRangeEnd" minOccurs="0"/>
                <xsd:element ref="ns2:DocumentForm" minOccurs="0"/>
                <xsd:element ref="ns2:Entity" minOccurs="0"/>
                <xsd:element ref="ns2:Identifier" minOccurs="0"/>
                <xsd:element ref="ns2:Precedence" minOccurs="0"/>
                <xsd:element ref="ns2:RecordContact" minOccurs="0"/>
                <xsd:element ref="ns2:RecordContactDetails" minOccurs="0"/>
                <xsd:element ref="ns2:RecordExtent" minOccurs="0"/>
                <xsd:element ref="ns2:RecordExtentUnits" minOccurs="0"/>
                <xsd:element ref="ns2:RecordLocation" minOccurs="0"/>
                <xsd:element ref="ns2:NameScheme" minOccurs="0"/>
                <xsd:element ref="ns2:IdentifierScheme" minOccurs="0"/>
                <xsd:element ref="ns2:m3f2ca6b2c9a4802967adedbb4af06ae" minOccurs="0"/>
                <xsd:element ref="ns2:RightsStatus" minOccurs="0"/>
                <xsd:element ref="ns2:TaxKeywordTaxHTField" minOccurs="0"/>
                <xsd:element ref="ns2:TaxCatchAllLabel" minOccurs="0"/>
                <xsd:element ref="ns3:MediaServiceMetadata" minOccurs="0"/>
                <xsd:element ref="ns3:MediaServiceFastMetadata" minOccurs="0"/>
                <xsd:element ref="ns3:MediaServiceDateTaken" minOccurs="0"/>
                <xsd:element ref="ns3:MediaServiceAutoTags" minOccurs="0"/>
                <xsd:element ref="ns3:MediaServiceOCR" minOccurs="0"/>
                <xsd:element ref="ns5:SharedWithUsers" minOccurs="0"/>
                <xsd:element ref="ns5: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3"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AGRkMSDescription" ma:index="3" nillable="true" ma:displayName="Description" ma:internalName="AGRkMSDescription" ma:readOnly="false">
      <xsd:simpleType>
        <xsd:restriction base="dms:Note">
          <xsd:maxLength value="255"/>
        </xsd:restriction>
      </xsd:simpleType>
    </xsd:element>
    <xsd:element name="SecurityClassification" ma:index="9" ma:displayName="Security Classification" ma:default="DLM: For Official Use Only" ma:format="Dropdown" ma:internalName="SecurityClassification" ma:readOnly="false">
      <xsd:simpleType>
        <xsd:restriction base="dms:Choice">
          <xsd:enumeration value="Unofficial"/>
          <xsd:enumeration value="Unclassified"/>
          <xsd:enumeration value="DLM: For Official Use Only"/>
          <xsd:enumeration value="DLM: Sensitive"/>
          <xsd:enumeration value="DLM: Sensitive - Legal"/>
          <xsd:enumeration value="DLM: Sensitive - Personal"/>
        </xsd:restriction>
      </xsd:simpleType>
    </xsd:element>
    <xsd:element name="RightsType" ma:index="10" ma:displayName="Rights Type" ma:default="Use Permission" ma:format="Dropdown" ma:internalName="RightsType" ma:readOnly="false">
      <xsd:simpleType>
        <xsd:restriction base="dms:Choice">
          <xsd:enumeration value="Archival Access"/>
          <xsd:enumeration value="Authorised Public Access"/>
          <xsd:enumeration value="Copyright"/>
          <xsd:enumeration value="Disclaimer"/>
          <xsd:enumeration value="Embargo"/>
          <xsd:enumeration value="FOI"/>
          <xsd:enumeration value="Intellectual Property"/>
          <xsd:enumeration value="Privacy"/>
          <xsd:enumeration value="Use Permission"/>
        </xsd:restriction>
      </xsd:simpleType>
    </xsd:element>
    <xsd:element name="OfNationalSignificance" ma:index="12" ma:displayName="Of National Significance" ma:format="Dropdown" ma:internalName="OfNationalSignificance" ma:readOnly="false">
      <xsd:simpleType>
        <xsd:restriction base="dms:Choice">
          <xsd:enumeration value="Yes"/>
          <xsd:enumeration value="No"/>
        </xsd:restriction>
      </xsd:simpleType>
    </xsd:element>
    <xsd:element name="Team_Note" ma:index="18" nillable="true" ma:displayName="Team" ma:hidden="true" ma:internalName="Team_Note" ma:readOnly="false">
      <xsd:simpleType>
        <xsd:restriction base="dms:Note"/>
      </xsd:simpleType>
    </xsd:element>
    <xsd:element name="TaxCatchAll" ma:index="19" nillable="true" ma:displayName="Taxonomy Catch All Column" ma:hidden="true" ma:list="{6409ff59-da27-43b9-9466-eca8795ec41c}" ma:internalName="TaxCatchAll" ma:readOnly="false" ma:showField="CatchAllData"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BusinessFunction_Note" ma:index="20" nillable="true" ma:displayName="BusinessFunction" ma:hidden="true" ma:internalName="BusinessFunction_Note" ma:readOnly="false">
      <xsd:simpleType>
        <xsd:restriction base="dms:Note"/>
      </xsd:simpleType>
    </xsd:element>
    <xsd:element name="DocumentType_Note" ma:index="22" nillable="true" ma:displayName="DocumentType" ma:hidden="true" ma:internalName="DocumentType_Note" ma:readOnly="false">
      <xsd:simpleType>
        <xsd:restriction base="dms:Note"/>
      </xsd:simpleType>
    </xsd:element>
    <xsd:element name="pfcb0be319e247388db2251ff9d23f72" ma:index="24" nillable="true" ma:displayName="Title Type_0" ma:hidden="true" ma:internalName="pfcb0be319e247388db2251ff9d23f72" ma:readOnly="false">
      <xsd:simpleType>
        <xsd:restriction base="dms:Note"/>
      </xsd:simpleType>
    </xsd:element>
    <xsd:element name="g91dc4f691a04421b1edf463601fabf6" ma:index="26" nillable="true" ma:displayName="Offshore Region_0" ma:hidden="true" ma:internalName="g91dc4f691a04421b1edf463601fabf6" ma:readOnly="false">
      <xsd:simpleType>
        <xsd:restriction base="dms:Note"/>
      </xsd:simple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false">
      <xsd:simpleType>
        <xsd:restriction base="dms:Boolean"/>
      </xsd:simpleType>
    </xsd:element>
    <xsd:element name="Titles_Note" ma:index="30" nillable="true" ma:displayName="Titles" ma:hidden="true" ma:internalName="Titles_Note" ma:readOnly="false">
      <xsd:simpleType>
        <xsd:restriction base="dms:Note"/>
      </xsd:simpleType>
    </xsd:element>
    <xsd:element name="Jurisdiction" ma:index="31" nillable="true" ma:displayName="Jurisdiction" ma:default="AU" ma:hidden="true" ma:internalName="Jurisdiction" ma:readOnly="false">
      <xsd:complexType>
        <xsd:complexContent>
          <xsd:extension base="dms:MultiChoice">
            <xsd:sequence>
              <xsd:element name="Value" maxOccurs="unbounded" minOccurs="0" nillable="true">
                <xsd:simpleType>
                  <xsd:restriction base="dms:Choice">
                    <xsd:enumeration value="AU"/>
                    <xsd:enumeration value="AAT"/>
                    <xsd:enumeration value="ACT"/>
                    <xsd:enumeration value="IOT"/>
                    <xsd:enumeration value="NSW"/>
                    <xsd:enumeration value="NI"/>
                    <xsd:enumeration value="NT"/>
                    <xsd:enumeration value="QLD"/>
                    <xsd:enumeration value="SA"/>
                    <xsd:enumeration value="TAS"/>
                    <xsd:enumeration value="VIC"/>
                    <xsd:enumeration value="WA"/>
                    <xsd:enumeration value="O"/>
                  </xsd:restriction>
                </xsd:simpleType>
              </xsd:element>
            </xsd:sequence>
          </xsd:extension>
        </xsd:complexContent>
      </xsd:complexType>
    </xsd:element>
    <xsd:element name="CaveatText" ma:index="32" ma:displayName="Caveat Text" ma:default="PSPF" ma:hidden="true" ma:internalName="CaveatText" ma:readOnly="false">
      <xsd:simpleType>
        <xsd:restriction base="dms:Text"/>
      </xsd:simpleType>
    </xsd:element>
    <xsd:element name="CaveatCategory" ma:index="33" ma:displayName="Caveat Category" ma:default="DLM: For Official Use Only" ma:hidden="true" ma:internalName="CaveatCategory" ma:readOnly="false">
      <xsd:simpleType>
        <xsd:restriction base="dms:Text"/>
      </xsd:simpleType>
    </xsd:element>
    <xsd:element name="RightsStatement" ma:index="34" nillable="true" ma:displayName="Rights Statement" ma:default="NOPTA Members Only" ma:hidden="true" ma:internalName="RightsStatement" ma:readOnly="false">
      <xsd:simpleType>
        <xsd:restriction base="dms:Note"/>
      </xsd:simpleType>
    </xsd:element>
    <xsd:element name="AGRkMSCategory" ma:index="35" ma:displayName="Category" ma:default="Item" ma:format="Dropdown" ma:hidden="true" ma:internalName="AGRkMSCategory" ma:readOnly="false">
      <xsd:simpleType>
        <xsd:restriction base="dms:Choice">
          <xsd:enumeration value="Archives"/>
          <xsd:enumeration value="Archive"/>
          <xsd:enumeration value="Series"/>
          <xsd:enumeration value="File"/>
          <xsd:enumeration value="Transaction Sequence"/>
          <xsd:enumeration value="Item"/>
        </xsd:restriction>
      </xsd:simpleType>
    </xsd:element>
    <xsd:element name="AGRkMSLanguage" ma:index="36" ma:displayName="AGRkMS Language" ma:default="en-au" ma:hidden="true" ma:internalName="AGRkMSLanguage" ma:readOnly="false">
      <xsd:simpleType>
        <xsd:restriction base="dms:Text"/>
      </xsd:simpleType>
    </xsd:element>
    <xsd:element name="JurisdictionalCoverage" ma:index="37" nillable="true" ma:displayName="Jurisdictional Coverage" ma:default="Commonwealth of Australia (AU)" ma:hidden="true" ma:internalName="JurisdictionalCoverage" ma:readOnly="false">
      <xsd:complexType>
        <xsd:complexContent>
          <xsd:extension base="dms:MultiChoice">
            <xsd:sequence>
              <xsd:element name="Value" maxOccurs="unbounded" minOccurs="0" nillable="true">
                <xsd:simpleType>
                  <xsd:restriction base="dms:Choice">
                    <xsd:enumeration value="Commonwealth of Australia (AU)"/>
                    <xsd:enumeration value="Australian Antarctic Territory (AAT)"/>
                    <xsd:enumeration value="Indian Ocean Territories (IOT)"/>
                    <xsd:enumeration value="Norfolk Island (NI)"/>
                    <xsd:enumeration value="Other (O)"/>
                  </xsd:restriction>
                </xsd:simpleType>
              </xsd:element>
            </xsd:sequence>
          </xsd:extension>
        </xsd:complexContent>
      </xsd:complexType>
    </xsd:element>
    <xsd:element name="TemporalCoverage" ma:index="38" nillable="true" ma:displayName="Temporal Coverage" ma:hidden="true" ma:internalName="TemporalCoverage" ma:readOnly="false">
      <xsd:simpleType>
        <xsd:restriction base="dms:Text"/>
      </xsd:simpleType>
    </xsd:element>
    <xsd:element name="SpatialCoverage" ma:index="39" nillable="true" ma:displayName="Spatial Coverage" ma:default="Commonwealth of Australia" ma:hidden="true" ma:internalName="SpatialCoverage" ma:readOnly="false">
      <xsd:simpleType>
        <xsd:restriction base="dms:Text"/>
      </xsd:simpleType>
    </xsd:element>
    <xsd:element name="KeywordID" ma:index="40" nillable="true" ma:displayName="Keyword ID" ma:hidden="true" ma:internalName="KeywordID" ma:readOnly="false">
      <xsd:simpleType>
        <xsd:restriction base="dms:Text"/>
      </xsd:simpleType>
    </xsd:element>
    <xsd:element name="KeywordScheme" ma:index="41" nillable="true" ma:displayName="Keyword Scheme" ma:hidden="true" ma:internalName="KeywordScheme" ma:readOnly="false">
      <xsd:simpleType>
        <xsd:restriction base="dms:Text"/>
      </xsd:simpleType>
    </xsd:element>
    <xsd:element name="KeywordSchemeType" ma:index="42" nillable="true" ma:displayName="Keyword Scheme Type" ma:hidden="true" ma:internalName="KeywordSchemeType" ma:readOnly="false">
      <xsd:simpleType>
        <xsd:restriction base="dms:Text"/>
      </xsd:simpleType>
    </xsd:element>
    <xsd:element name="FormatName" ma:index="43" nillable="true" ma:displayName="Format Name" ma:default="Word" ma:hidden="true" ma:internalName="FormatName" ma:readOnly="false">
      <xsd:simpleType>
        <xsd:restriction base="dms:Text"/>
      </xsd:simpleType>
    </xsd:element>
    <xsd:element name="FormatVersion" ma:index="44" nillable="true" ma:displayName="Format Version" ma:default="2013" ma:hidden="true" ma:internalName="FormatVersion" ma:readOnly="false">
      <xsd:simpleType>
        <xsd:restriction base="dms:Text"/>
      </xsd:simpleType>
    </xsd:element>
    <xsd:element name="CreatingApplicationName" ma:index="45" nillable="true" ma:displayName="Creating Application Name" ma:default="Microsoft Word" ma:hidden="true" ma:internalName="CreatingApplicationName" ma:readOnly="false">
      <xsd:simpleType>
        <xsd:restriction base="dms:Text"/>
      </xsd:simpleType>
    </xsd:element>
    <xsd:element name="CreatingApplicationVersion" ma:index="46" nillable="true" ma:displayName="Creating Application Version" ma:default="2013" ma:hidden="true" ma:internalName="CreatingApplicationVersion" ma:readOnly="false">
      <xsd:simpleType>
        <xsd:restriction base="dms:Text"/>
      </xsd:simpleType>
    </xsd:element>
    <xsd:element name="FormatRegistry" ma:index="47" nillable="true" ma:displayName="Format Registry" ma:default="System generated" ma:hidden="true" ma:internalName="FormatRegistry" ma:readOnly="false">
      <xsd:simpleType>
        <xsd:restriction base="dms:Text"/>
      </xsd:simpleType>
    </xsd:element>
    <xsd:element name="Quantity" ma:index="48" nillable="true" ma:displayName="Quantity" ma:hidden="true" ma:internalName="Quantity" ma:readOnly="false">
      <xsd:simpleType>
        <xsd:restriction base="dms:Text"/>
      </xsd:simpleType>
    </xsd:element>
    <xsd:element name="Units" ma:index="49" nillable="true" ma:displayName="Units" ma:default="KB" ma:format="Dropdown" ma:hidden="true" ma:internalName="Units" ma:readOnly="false">
      <xsd:simpleType>
        <xsd:restriction base="dms:Choice">
          <xsd:enumeration value="B"/>
          <xsd:enumeration value="KB"/>
          <xsd:enumeration value="MB"/>
          <xsd:enumeration value="GB"/>
          <xsd:enumeration value="TB"/>
          <xsd:enumeration value="PB"/>
          <xsd:enumeration value="EB"/>
          <xsd:enumeration value="ZB"/>
          <xsd:enumeration value="YB"/>
          <xsd:enumeration value="CM"/>
        </xsd:restriction>
      </xsd:simpleType>
    </xsd:element>
    <xsd:element name="Medium" ma:index="50" nillable="true" ma:displayName="Medium" ma:default="Digital File" ma:hidden="true" ma:internalName="Medium" ma:readOnly="false">
      <xsd:simpleType>
        <xsd:restriction base="dms:Text"/>
      </xsd:simpleType>
    </xsd:element>
    <xsd:element name="HashFunctionName" ma:index="51" ma:displayName="Hash Function Name" ma:default="MD5" ma:hidden="true" ma:internalName="HashFunctionName" ma:readOnly="false">
      <xsd:simpleType>
        <xsd:restriction base="dms:Text"/>
      </xsd:simpleType>
    </xsd:element>
    <xsd:element name="MessageDigest" ma:index="52" nillable="true" ma:displayName="Message Digest" ma:hidden="true" ma:internalName="MessageDigest" ma:readOnly="false">
      <xsd:simpleType>
        <xsd:restriction base="dms:Text"/>
      </xsd:simpleType>
    </xsd:element>
    <xsd:element name="RecordKeywords" ma:index="53" nillable="true" ma:displayName="Record Keywords" ma:hidden="true" ma:internalName="RecordKeywords" ma:readOnly="false">
      <xsd:simpleType>
        <xsd:restriction base="dms:Text"/>
      </xsd:simpleType>
    </xsd:element>
    <xsd:element name="DateRangeStart" ma:index="54" nillable="true" ma:displayName="Date Range - Start Date" ma:format="DateOnly" ma:hidden="true" ma:internalName="DateRangeStart" ma:readOnly="false">
      <xsd:simpleType>
        <xsd:restriction base="dms:DateTime"/>
      </xsd:simpleType>
    </xsd:element>
    <xsd:element name="DateRangeEnd" ma:index="55" nillable="true" ma:displayName="Date Range - End Date" ma:format="DateOnly" ma:hidden="true" ma:internalName="DateRangeEnd" ma:readOnly="false">
      <xsd:simpleType>
        <xsd:restriction base="dms:DateTime"/>
      </xsd:simpleType>
    </xsd:element>
    <xsd:element name="DocumentForm" ma:index="56" nillable="true" ma:displayName="Document Form" ma:hidden="true" ma:internalName="DocumentForm" ma:readOnly="false">
      <xsd:simpleType>
        <xsd:restriction base="dms:Text"/>
      </xsd:simpleType>
    </xsd:element>
    <xsd:element name="Entity" ma:index="57" nillable="true" ma:displayName="Entity" ma:format="Dropdown" ma:hidden="true" ma:internalName="Entity" ma:readOnly="false">
      <xsd:simpleType>
        <xsd:restriction base="dms:Choice">
          <xsd:enumeration value="Agent"/>
          <xsd:enumeration value="Business"/>
          <xsd:enumeration value="Mandate"/>
          <xsd:enumeration value="Record"/>
          <xsd:enumeration value="Relationship"/>
        </xsd:restriction>
      </xsd:simpleType>
    </xsd:element>
    <xsd:element name="Identifier" ma:index="58" nillable="true" ma:displayName="Identifier" ma:decimals="0" ma:default="0" ma:hidden="true" ma:internalName="Identifier" ma:readOnly="false" ma:percentage="FALSE">
      <xsd:simpleType>
        <xsd:restriction base="dms:Number"/>
      </xsd:simpleType>
    </xsd:element>
    <xsd:element name="Precedence" ma:index="59" nillable="true" ma:displayName="Precedence" ma:hidden="true" ma:internalName="Precedence" ma:readOnly="false">
      <xsd:simpleType>
        <xsd:restriction base="dms:Text"/>
      </xsd:simpleType>
    </xsd:element>
    <xsd:element name="RecordContact" ma:index="60" nillable="true" ma:displayName="Record Contact" ma:hidden="true" ma:SearchPeopleOnly="false" ma:SharePointGroup="0" ma:internalName="Record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ContactDetails" ma:index="61" nillable="true" ma:displayName="Record Contact Details" ma:hidden="true" ma:internalName="RecordContactDetails" ma:readOnly="false">
      <xsd:simpleType>
        <xsd:restriction base="dms:Text"/>
      </xsd:simpleType>
    </xsd:element>
    <xsd:element name="RecordExtent" ma:index="62" nillable="true" ma:displayName="Record Extent" ma:hidden="true" ma:internalName="RecordExtent" ma:readOnly="false">
      <xsd:simpleType>
        <xsd:restriction base="dms:Text"/>
      </xsd:simpleType>
    </xsd:element>
    <xsd:element name="RecordExtentUnits" ma:index="63" nillable="true" ma:displayName="Record Extent Units" ma:hidden="true" ma:internalName="RecordExtentUnits" ma:readOnly="false">
      <xsd:simpleType>
        <xsd:restriction base="dms:Text"/>
      </xsd:simpleType>
    </xsd:element>
    <xsd:element name="RecordLocation" ma:index="64" nillable="true" ma:displayName="Record Location" ma:hidden="true" ma:internalName="RecordLocation" ma:readOnly="false">
      <xsd:simpleType>
        <xsd:restriction base="dms:Text"/>
      </xsd:simpleType>
    </xsd:element>
    <xsd:element name="NameScheme" ma:index="65" nillable="true" ma:displayName="Name Scheme" ma:hidden="true" ma:internalName="NameScheme" ma:readOnly="false">
      <xsd:simpleType>
        <xsd:restriction base="dms:Text"/>
      </xsd:simpleType>
    </xsd:element>
    <xsd:element name="IdentifierScheme" ma:index="66" nillable="true" ma:displayName="Identifier Scheme" ma:default="RecordPoint" ma:hidden="true" ma:internalName="IdentifierScheme" ma:readOnly="false">
      <xsd:simpleType>
        <xsd:restriction base="dms:Text"/>
      </xsd:simpleType>
    </xsd:element>
    <xsd:element name="m3f2ca6b2c9a4802967adedbb4af06ae" ma:index="67" nillable="true" ma:taxonomy="true" ma:internalName="m3f2ca6b2c9a4802967adedbb4af06ae" ma:taxonomyFieldName="Application_x0020_Library" ma:displayName="Application Library" ma:readOnly="false" ma:fieldId="{63f2ca6b-2c9a-4802-967a-dedbb4af06ae}" ma:sspId="bce47a14-5049-44f5-9725-de9c3b17a93b" ma:termSetId="55c24099-0a67-4aa1-976f-bac0dc13e218" ma:anchorId="00000000-0000-0000-0000-000000000000" ma:open="false" ma:isKeyword="false">
      <xsd:complexType>
        <xsd:sequence>
          <xsd:element ref="pc:Terms" minOccurs="0" maxOccurs="1"/>
        </xsd:sequence>
      </xsd:complexType>
    </xsd:element>
    <xsd:element name="RightsStatus" ma:index="69" nillable="true" ma:displayName="Rights Status" ma:default="Open" ma:format="Dropdown" ma:hidden="true" ma:internalName="RightsStatus" ma:readOnly="false">
      <xsd:simpleType>
        <xsd:restriction base="dms:Choice">
          <xsd:enumeration value="Open"/>
          <xsd:enumeration value="Open with Exemptions"/>
          <xsd:enumeration value="Closed"/>
          <xsd:enumeration value="May be Released Under FOI"/>
          <xsd:enumeration value="Not for Release"/>
          <xsd:enumeration value="FOI"/>
          <xsd:enumeration value="May be Published"/>
          <xsd:enumeration value="Limited Release"/>
          <xsd:enumeration value="Published"/>
        </xsd:restriction>
      </xsd:simpleType>
    </xsd:element>
    <xsd:element name="TaxKeywordTaxHTField" ma:index="72" nillable="true" ma:taxonomy="true" ma:internalName="TaxKeywordTaxHTField" ma:taxonomyFieldName="TaxKeyword" ma:displayName="Enterprise Keywords" ma:fieldId="{23f27201-bee3-471e-b2e7-b64fd8b7ca38}" ma:taxonomyMulti="true" ma:sspId="bce47a14-5049-44f5-9725-de9c3b17a93b" ma:termSetId="00000000-0000-0000-0000-000000000000" ma:anchorId="00000000-0000-0000-0000-000000000000" ma:open="true" ma:isKeyword="true">
      <xsd:complexType>
        <xsd:sequence>
          <xsd:element ref="pc:Terms" minOccurs="0" maxOccurs="1"/>
        </xsd:sequence>
      </xsd:complexType>
    </xsd:element>
    <xsd:element name="TaxCatchAllLabel" ma:index="73" nillable="true" ma:displayName="Taxonomy Catch All Column1" ma:hidden="true" ma:list="{6409ff59-da27-43b9-9466-eca8795ec41c}" ma:internalName="TaxCatchAllLabel" ma:readOnly="true" ma:showField="CatchAllDataLabel" ma:web="7012054d-3a07-4b40-940b-a148fc76e5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6e6013-7e1b-4606-837f-d759a63b5bd0" elementFormDefault="qualified">
    <xsd:import namespace="http://schemas.microsoft.com/office/2006/documentManagement/types"/>
    <xsd:import namespace="http://schemas.microsoft.com/office/infopath/2007/PartnerControls"/>
    <xsd:element name="FinancialMonth" ma:index="14" nillable="true" ma:displayName="Financial Month" ma:format="Dropdown" ma:internalName="Financial_x0020_Month" ma:readOnly="false">
      <xsd:simpleType>
        <xsd:restriction base="dms:Choice">
          <xsd:enumeration value="1 - January"/>
          <xsd:enumeration value="2 - February"/>
          <xsd:enumeration value="3 - March"/>
          <xsd:enumeration value="4 - April"/>
          <xsd:enumeration value="5 - May"/>
          <xsd:enumeration value="6 - June"/>
          <xsd:enumeration value="7 - July"/>
          <xsd:enumeration value="8 - August"/>
          <xsd:enumeration value="9 - September"/>
          <xsd:enumeration value="10 - October"/>
          <xsd:enumeration value="11 - November"/>
          <xsd:enumeration value="12 - December"/>
        </xsd:restriction>
      </xsd:simpleType>
    </xsd:element>
    <xsd:element name="FinancialYear" ma:index="15" nillable="true" ma:displayName="Financial Year" ma:format="Dropdown" ma:internalName="Financial_x0020_Year" ma:readOnly="false">
      <xsd:simpleType>
        <xsd:restriction base="dms:Choice">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restriction>
      </xsd:simpleType>
    </xsd:element>
    <xsd:element name="MediaServiceMetadata" ma:index="74" nillable="true" ma:displayName="MediaServiceMetadata" ma:hidden="true" ma:internalName="MediaServiceMetadata" ma:readOnly="true">
      <xsd:simpleType>
        <xsd:restriction base="dms:Note"/>
      </xsd:simpleType>
    </xsd:element>
    <xsd:element name="MediaServiceFastMetadata" ma:index="75" nillable="true" ma:displayName="MediaServiceFastMetadata" ma:hidden="true" ma:internalName="MediaServiceFastMetadata" ma:readOnly="true">
      <xsd:simpleType>
        <xsd:restriction base="dms:Note"/>
      </xsd:simpleType>
    </xsd:element>
    <xsd:element name="MediaServiceDateTaken" ma:index="76" nillable="true" ma:displayName="MediaServiceDateTaken" ma:hidden="true" ma:internalName="MediaServiceDateTaken" ma:readOnly="true">
      <xsd:simpleType>
        <xsd:restriction base="dms:Text"/>
      </xsd:simpleType>
    </xsd:element>
    <xsd:element name="MediaServiceAutoTags" ma:index="77" nillable="true" ma:displayName="Tags" ma:internalName="MediaServiceAutoTags" ma:readOnly="true">
      <xsd:simpleType>
        <xsd:restriction base="dms:Text"/>
      </xsd:simpleType>
    </xsd:element>
    <xsd:element name="MediaServiceOCR" ma:index="78" nillable="true" ma:displayName="Extracted Text" ma:internalName="MediaServiceOCR" ma:readOnly="true">
      <xsd:simpleType>
        <xsd:restriction base="dms:Note">
          <xsd:maxLength value="255"/>
        </xsd:restriction>
      </xsd:simpleType>
    </xsd:element>
    <xsd:element name="MediaServiceGenerationTime" ma:index="81" nillable="true" ma:displayName="MediaServiceGenerationTime" ma:hidden="true" ma:internalName="MediaServiceGenerationTime" ma:readOnly="true">
      <xsd:simpleType>
        <xsd:restriction base="dms:Text"/>
      </xsd:simpleType>
    </xsd:element>
    <xsd:element name="MediaServiceEventHashCode" ma:index="8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c7aab-46dc-41e6-af17-5786de2149dd" elementFormDefault="qualified">
    <xsd:import namespace="http://schemas.microsoft.com/office/2006/documentManagement/types"/>
    <xsd:import namespace="http://schemas.microsoft.com/office/infopath/2007/PartnerControls"/>
    <xsd:element name="SharedWithUsers" ma:index="7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1" ma:displayName="Title"/>
        <xsd:element ref="dc:subject" minOccurs="0" maxOccurs="1"/>
        <xsd:element ref="dc:description" minOccurs="0" maxOccurs="1"/>
        <xsd:element name="keywords" minOccurs="0" maxOccurs="1" type="xsd:string" ma:index="1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CreatingApplicationVersion xmlns="7012054d-3a07-4b40-940b-a148fc76e5c4">2013</CreatingApplicationVersion>
    <RecordContactDetails xmlns="7012054d-3a07-4b40-940b-a148fc76e5c4" xsi:nil="true"/>
    <g91dc4f691a04421b1edf463601fabf6 xmlns="7012054d-3a07-4b40-940b-a148fc76e5c4" xsi:nil="true"/>
    <SecurityClassification xmlns="7012054d-3a07-4b40-940b-a148fc76e5c4">Unclassified</SecurityClassification>
    <RightsType xmlns="7012054d-3a07-4b40-940b-a148fc76e5c4">Use Permission</RightsType>
    <IdentifierScheme xmlns="7012054d-3a07-4b40-940b-a148fc76e5c4">RecordPoint</IdentifierScheme>
    <DocumentType_Note xmlns="7012054d-3a07-4b40-940b-a148fc76e5c4" xsi:nil="true"/>
    <Identifier xmlns="7012054d-3a07-4b40-940b-a148fc76e5c4">0</Identifier>
    <KeywordScheme xmlns="7012054d-3a07-4b40-940b-a148fc76e5c4" xsi:nil="true"/>
    <FormatVersion xmlns="7012054d-3a07-4b40-940b-a148fc76e5c4">2013</FormatVersion>
    <CreatingApplicationName xmlns="7012054d-3a07-4b40-940b-a148fc76e5c4">Microsoft Word</CreatingApplicationName>
    <SpatialCoverage xmlns="7012054d-3a07-4b40-940b-a148fc76e5c4">Commonwealth of Australia</SpatialCoverage>
    <FormatRegistry xmlns="7012054d-3a07-4b40-940b-a148fc76e5c4">System generated</FormatRegistry>
    <Entity xmlns="7012054d-3a07-4b40-940b-a148fc76e5c4" xsi:nil="true"/>
    <AGRkMSCategory xmlns="7012054d-3a07-4b40-940b-a148fc76e5c4">Item</AGRkMSCategory>
    <JurisdictionalCoverage xmlns="7012054d-3a07-4b40-940b-a148fc76e5c4">
      <Value>Commonwealth of Australia (AU)</Value>
    </JurisdictionalCoverage>
    <Medium xmlns="7012054d-3a07-4b40-940b-a148fc76e5c4">Digital File</Medium>
    <DocumentForm xmlns="7012054d-3a07-4b40-940b-a148fc76e5c4" xsi:nil="true"/>
    <HashFunctionName xmlns="7012054d-3a07-4b40-940b-a148fc76e5c4">MD5</HashFunctionName>
    <TaxCatchAll xmlns="7012054d-3a07-4b40-940b-a148fc76e5c4">
      <Value>4563</Value>
      <Value>4461</Value>
      <Value>4565</Value>
    </TaxCatchAll>
    <RecordContact xmlns="7012054d-3a07-4b40-940b-a148fc76e5c4">
      <UserInfo>
        <DisplayName/>
        <AccountId xsi:nil="true"/>
        <AccountType/>
      </UserInfo>
    </RecordContact>
    <Precedence xmlns="7012054d-3a07-4b40-940b-a148fc76e5c4" xsi:nil="true"/>
    <Quantity xmlns="7012054d-3a07-4b40-940b-a148fc76e5c4" xsi:nil="true"/>
    <RightsStatement xmlns="7012054d-3a07-4b40-940b-a148fc76e5c4">NOPTA Members Only</RightsStatement>
    <TemporalCoverage xmlns="7012054d-3a07-4b40-940b-a148fc76e5c4" xsi:nil="true"/>
    <Units xmlns="7012054d-3a07-4b40-940b-a148fc76e5c4">KB</Units>
    <DateRangeEnd xmlns="7012054d-3a07-4b40-940b-a148fc76e5c4" xsi:nil="true"/>
    <RecordExtentUnits xmlns="7012054d-3a07-4b40-940b-a148fc76e5c4" xsi:nil="true"/>
    <RightsStatus xmlns="7012054d-3a07-4b40-940b-a148fc76e5c4">Open</RightsStatus>
    <KeywordSchemeType xmlns="7012054d-3a07-4b40-940b-a148fc76e5c4" xsi:nil="true"/>
    <FormatName xmlns="7012054d-3a07-4b40-940b-a148fc76e5c4">Word</FormatName>
    <MessageDigest xmlns="7012054d-3a07-4b40-940b-a148fc76e5c4" xsi:nil="true"/>
    <Jurisdiction xmlns="7012054d-3a07-4b40-940b-a148fc76e5c4">
      <Value>AU</Value>
    </Jurisdiction>
    <KeywordID xmlns="7012054d-3a07-4b40-940b-a148fc76e5c4" xsi:nil="true"/>
    <TaxKeywordTaxHTField xmlns="7012054d-3a07-4b40-940b-a148fc76e5c4">
      <Terms xmlns="http://schemas.microsoft.com/office/infopath/2007/PartnerControls">
        <TermInfo xmlns="http://schemas.microsoft.com/office/infopath/2007/PartnerControls">
          <TermName xmlns="http://schemas.microsoft.com/office/infopath/2007/PartnerControls">regulator performance framework</TermName>
          <TermId xmlns="http://schemas.microsoft.com/office/infopath/2007/PartnerControls">abefd030-eb88-4503-91c5-077c9bb990ea</TermId>
        </TermInfo>
        <TermInfo xmlns="http://schemas.microsoft.com/office/infopath/2007/PartnerControls">
          <TermName xmlns="http://schemas.microsoft.com/office/infopath/2007/PartnerControls">RPF</TermName>
          <TermId xmlns="http://schemas.microsoft.com/office/infopath/2007/PartnerControls">059d5b5e-53fc-4fb0-95ca-31068f833c83</TermId>
        </TermInfo>
      </Terms>
    </TaxKeywordTaxHTField>
    <AGRkMSDescription xmlns="7012054d-3a07-4b40-940b-a148fc76e5c4" xsi:nil="true"/>
    <CaveatText xmlns="7012054d-3a07-4b40-940b-a148fc76e5c4">PSPF</CaveatText>
    <RecordExtent xmlns="7012054d-3a07-4b40-940b-a148fc76e5c4" xsi:nil="true"/>
    <BusinessFunction_Note xmlns="7012054d-3a07-4b40-940b-a148fc76e5c4">Reporting|136d2e42-ffea-4299-9241-3e4d68036d2d</BusinessFunction_Note>
    <DateRangeStart xmlns="7012054d-3a07-4b40-940b-a148fc76e5c4" xsi:nil="true"/>
    <RecordLocation xmlns="7012054d-3a07-4b40-940b-a148fc76e5c4" xsi:nil="true"/>
    <CaveatCategory xmlns="7012054d-3a07-4b40-940b-a148fc76e5c4">DLM: For Official Use Only</CaveatCategory>
    <AGRkMSLanguage xmlns="7012054d-3a07-4b40-940b-a148fc76e5c4">en-au</AGRkMSLanguage>
    <RecordKeywords xmlns="7012054d-3a07-4b40-940b-a148fc76e5c4" xsi:nil="true"/>
    <pfcb0be319e247388db2251ff9d23f72 xmlns="7012054d-3a07-4b40-940b-a148fc76e5c4" xsi:nil="true"/>
    <Titles_Note xmlns="7012054d-3a07-4b40-940b-a148fc76e5c4" xsi:nil="true"/>
    <NameScheme xmlns="7012054d-3a07-4b40-940b-a148fc76e5c4" xsi:nil="true"/>
    <m3f2ca6b2c9a4802967adedbb4af06ae xmlns="7012054d-3a07-4b40-940b-a148fc76e5c4">
      <Terms xmlns="http://schemas.microsoft.com/office/infopath/2007/PartnerControls"/>
    </m3f2ca6b2c9a4802967adedbb4af06ae>
    <OfNationalSignificance xmlns="7012054d-3a07-4b40-940b-a148fc76e5c4">No</OfNationalSignificance>
    <Team_Note xmlns="7012054d-3a07-4b40-940b-a148fc76e5c4" xsi:nil="true"/>
    <_dlc_DocId xmlns="7012054d-3a07-4b40-940b-a148fc76e5c4">NOPTANET-159602618-1564</_dlc_DocId>
    <_dlc_DocIdUrl xmlns="7012054d-3a07-4b40-940b-a148fc76e5c4">
      <Url>https://nopta.sharepoint.com/team/ManagementTeam/_layouts/15/DocIdRedir.aspx?ID=NOPTANET-159602618-1564</Url>
      <Description>NOPTANET-159602618-1564</Description>
    </_dlc_DocIdUrl>
    <FinancialMonth xmlns="8c6e6013-7e1b-4606-837f-d759a63b5bd0" xsi:nil="true"/>
    <FinancialYear xmlns="8c6e6013-7e1b-4606-837f-d759a63b5bd0">2018-19</FinancialYear>
    <_dlc_DocIdPersistId xmlns="7012054d-3a07-4b40-940b-a148fc76e5c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4AF51-DEB3-4AAE-9BB8-FE69589B5EF6}">
  <ds:schemaRefs>
    <ds:schemaRef ds:uri="http://schemas.microsoft.com/sharepoint/events"/>
  </ds:schemaRefs>
</ds:datastoreItem>
</file>

<file path=customXml/itemProps2.xml><?xml version="1.0" encoding="utf-8"?>
<ds:datastoreItem xmlns:ds="http://schemas.openxmlformats.org/officeDocument/2006/customXml" ds:itemID="{AF067A7F-D3A7-48D9-BA97-0DBA44382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12054d-3a07-4b40-940b-a148fc76e5c4"/>
    <ds:schemaRef ds:uri="8c6e6013-7e1b-4606-837f-d759a63b5bd0"/>
    <ds:schemaRef ds:uri="52dc7aab-46dc-41e6-af17-5786de214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3BC41-E558-4452-9DA9-3A76B64768DB}">
  <ds:schemaRefs>
    <ds:schemaRef ds:uri="http://schemas.microsoft.com/sharepoint/v3/contenttype/forms"/>
  </ds:schemaRefs>
</ds:datastoreItem>
</file>

<file path=customXml/itemProps4.xml><?xml version="1.0" encoding="utf-8"?>
<ds:datastoreItem xmlns:ds="http://schemas.openxmlformats.org/officeDocument/2006/customXml" ds:itemID="{F18091CD-73BC-46CF-80B9-953817A26A8A}">
  <ds:schemaRefs>
    <ds:schemaRef ds:uri="52dc7aab-46dc-41e6-af17-5786de2149dd"/>
    <ds:schemaRef ds:uri="http://schemas.microsoft.com/office/2006/documentManagement/types"/>
    <ds:schemaRef ds:uri="http://schemas.microsoft.com/office/infopath/2007/PartnerControls"/>
    <ds:schemaRef ds:uri="8c6e6013-7e1b-4606-837f-d759a63b5bd0"/>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7012054d-3a07-4b40-940b-a148fc76e5c4"/>
    <ds:schemaRef ds:uri="http://www.w3.org/XML/1998/namespace"/>
    <ds:schemaRef ds:uri="http://purl.org/dc/dcmitype/"/>
  </ds:schemaRefs>
</ds:datastoreItem>
</file>

<file path=customXml/itemProps5.xml><?xml version="1.0" encoding="utf-8"?>
<ds:datastoreItem xmlns:ds="http://schemas.openxmlformats.org/officeDocument/2006/customXml" ds:itemID="{A89F75C0-6BF3-41BD-93FB-6E5DB90CE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4781</Words>
  <Characters>27256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NOPTA 2017-18 self-assessment against the Regulator Performance Framework</vt:lpstr>
    </vt:vector>
  </TitlesOfParts>
  <Company/>
  <LinksUpToDate>false</LinksUpToDate>
  <CharactersWithSpaces>31974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NOPTA 2017-18 self-assessment against the Regulator Performance Framework</dc:title>
  <dc:subject/>
  <dc:creator/>
  <cp:keywords>RPF; regulator performance framework</cp:keywords>
  <dc:description/>
  <cp:lastModifiedBy/>
  <cp:revision>1</cp:revision>
  <dcterms:created xsi:type="dcterms:W3CDTF">2019-08-23T02:09:00Z</dcterms:created>
  <dcterms:modified xsi:type="dcterms:W3CDTF">2019-10-01T01:07:00Z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0x01010063547D135F865547B104B3688A6EB0DB000BEF560CD256AF4FA90F147677CFBA51</vt:lpwstr>
  </property>
  <property fmtid="{D5CDD505-2E9C-101B-9397-08002B2CF9AE}" pid="3" name="TaxKeyword">
    <vt:lpwstr>4565;#regulator performance framework|abefd030-eb88-4503-91c5-077c9bb990ea;#4461;#RPF|059d5b5e-53fc-4fb0-95ca-31068f833c83</vt:lpwstr>
  </property>
  <property fmtid="{D5CDD505-2E9C-101B-9397-08002B2CF9AE}" pid="4" name="BusinessFunction">
    <vt:lpwstr>4563;#Reporting|136d2e42-ffea-4299-9241-3e4d68036d2d</vt:lpwstr>
  </property>
  <property fmtid="{D5CDD505-2E9C-101B-9397-08002B2CF9AE}" pid="5" name="Team">
    <vt:lpwstr/>
  </property>
  <property fmtid="{D5CDD505-2E9C-101B-9397-08002B2CF9AE}" pid="6" name="Titles">
    <vt:lpwstr/>
  </property>
  <property fmtid="{D5CDD505-2E9C-101B-9397-08002B2CF9AE}" pid="7" name="Title Type">
    <vt:lpwstr/>
  </property>
  <property fmtid="{D5CDD505-2E9C-101B-9397-08002B2CF9AE}" pid="8" name="DocumentType">
    <vt:lpwstr/>
  </property>
  <property fmtid="{D5CDD505-2E9C-101B-9397-08002B2CF9AE}" pid="9" name="Offshore Region">
    <vt:lpwstr/>
  </property>
  <property fmtid="{D5CDD505-2E9C-101B-9397-08002B2CF9AE}" pid="10" name="Application Library">
    <vt:lpwstr/>
  </property>
  <property fmtid="{D5CDD505-2E9C-101B-9397-08002B2CF9AE}" pid="11" name="_dlc_DocIdItemGuid">
    <vt:lpwstr>70c6a263-95bb-4792-915d-4d24db1720e8</vt:lpwstr>
  </property>
  <property fmtid="{D5CDD505-2E9C-101B-9397-08002B2CF9AE}" pid="12" name="RecordPoint_WorkflowType">
    <vt:lpwstr>ActiveSubmitStub</vt:lpwstr>
  </property>
  <property fmtid="{D5CDD505-2E9C-101B-9397-08002B2CF9AE}" pid="13" name="RecordPoint_ActiveItemWebId">
    <vt:lpwstr>{1cb09c3b-6bea-4355-94e2-71fef6f9b9df}</vt:lpwstr>
  </property>
  <property fmtid="{D5CDD505-2E9C-101B-9397-08002B2CF9AE}" pid="14" name="RecordPoint_ActiveItemSiteId">
    <vt:lpwstr>{d02ec70a-6101-41fa-8072-ecbec6fd4fd8}</vt:lpwstr>
  </property>
  <property fmtid="{D5CDD505-2E9C-101B-9397-08002B2CF9AE}" pid="15" name="RecordPoint_ActiveItemListId">
    <vt:lpwstr>{8c7e3d1a-eec5-4121-bcb4-f0e0951a3d37}</vt:lpwstr>
  </property>
  <property fmtid="{D5CDD505-2E9C-101B-9397-08002B2CF9AE}" pid="16" name="RecordPoint_ActiveItemUniqueId">
    <vt:lpwstr>{96cf9b80-9d32-46ef-a3d5-4c4555b05347}</vt:lpwstr>
  </property>
  <property fmtid="{D5CDD505-2E9C-101B-9397-08002B2CF9AE}" pid="17" name="RecordPoint_RecordNumberSubmitted">
    <vt:lpwstr>R0000153034</vt:lpwstr>
  </property>
  <property fmtid="{D5CDD505-2E9C-101B-9397-08002B2CF9AE}" pid="18" name="RecordPoint_SubmissionCompleted">
    <vt:lpwstr>2018-11-01T11:48:12.5704616+08:00</vt:lpwstr>
  </property>
  <property fmtid="{D5CDD505-2E9C-101B-9397-08002B2CF9AE}" pid="19" name="MSIP_Label_e1435138-3fd2-487f-a40f-8ee2b61234c9_Enabled">
    <vt:lpwstr>True</vt:lpwstr>
  </property>
  <property fmtid="{D5CDD505-2E9C-101B-9397-08002B2CF9AE}" pid="20" name="MSIP_Label_e1435138-3fd2-487f-a40f-8ee2b61234c9_SiteId">
    <vt:lpwstr>2940859f-ee86-4ee3-848f-02ac9eba62b2</vt:lpwstr>
  </property>
  <property fmtid="{D5CDD505-2E9C-101B-9397-08002B2CF9AE}" pid="21" name="MSIP_Label_e1435138-3fd2-487f-a40f-8ee2b61234c9_Owner">
    <vt:lpwstr>Fiona.Pekin@nopta.gov.au</vt:lpwstr>
  </property>
  <property fmtid="{D5CDD505-2E9C-101B-9397-08002B2CF9AE}" pid="22" name="MSIP_Label_e1435138-3fd2-487f-a40f-8ee2b61234c9_SetDate">
    <vt:lpwstr>2019-08-22T00:38:09.4913870Z</vt:lpwstr>
  </property>
  <property fmtid="{D5CDD505-2E9C-101B-9397-08002B2CF9AE}" pid="23" name="MSIP_Label_e1435138-3fd2-487f-a40f-8ee2b61234c9_Name">
    <vt:lpwstr>For Official Use Only</vt:lpwstr>
  </property>
  <property fmtid="{D5CDD505-2E9C-101B-9397-08002B2CF9AE}" pid="24" name="MSIP_Label_e1435138-3fd2-487f-a40f-8ee2b61234c9_Application">
    <vt:lpwstr>Microsoft Azure Information Protection</vt:lpwstr>
  </property>
  <property fmtid="{D5CDD505-2E9C-101B-9397-08002B2CF9AE}" pid="25" name="MSIP_Label_e1435138-3fd2-487f-a40f-8ee2b61234c9_ActionId">
    <vt:lpwstr>3f1bdf90-aabf-4039-97cd-5cf5ade234a1</vt:lpwstr>
  </property>
  <property fmtid="{D5CDD505-2E9C-101B-9397-08002B2CF9AE}" pid="26" name="MSIP_Label_e1435138-3fd2-487f-a40f-8ee2b61234c9_Extended_MSFT_Method">
    <vt:lpwstr>Manual</vt:lpwstr>
  </property>
  <property fmtid="{D5CDD505-2E9C-101B-9397-08002B2CF9AE}" pid="27" name="Sensitivity">
    <vt:lpwstr>For Official Use Only</vt:lpwstr>
  </property>
</Properties>
</file>