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A6F2F" w14:textId="77777777" w:rsidR="00351ECA" w:rsidRPr="004739D6" w:rsidRDefault="00351ECA" w:rsidP="004739D6">
      <w:pPr>
        <w:pStyle w:val="Title"/>
      </w:pPr>
      <w:bookmarkStart w:id="0" w:name="_Toc452644134"/>
      <w:bookmarkStart w:id="1" w:name="_Toc452709197"/>
      <w:bookmarkStart w:id="2" w:name="_Toc468884674"/>
      <w:r w:rsidRPr="004739D6">
        <w:t>National Offshore Petroleum Titles Administrator (NOPTA)</w:t>
      </w:r>
      <w:bookmarkEnd w:id="0"/>
      <w:bookmarkEnd w:id="1"/>
      <w:bookmarkEnd w:id="2"/>
    </w:p>
    <w:p w14:paraId="0E184867" w14:textId="77777777" w:rsidR="00351ECA" w:rsidRPr="00796831" w:rsidRDefault="00351ECA" w:rsidP="00351ECA">
      <w:pPr>
        <w:jc w:val="center"/>
        <w:rPr>
          <w:b/>
          <w:color w:val="2E74B5" w:themeColor="accent1" w:themeShade="BF"/>
          <w:sz w:val="52"/>
          <w:szCs w:val="52"/>
        </w:rPr>
      </w:pPr>
    </w:p>
    <w:p w14:paraId="549E413A" w14:textId="77777777" w:rsidR="00351ECA" w:rsidRPr="00796831" w:rsidRDefault="00351ECA" w:rsidP="004739D6">
      <w:pPr>
        <w:pStyle w:val="Title"/>
      </w:pPr>
      <w:bookmarkStart w:id="3" w:name="_Toc452644135"/>
      <w:bookmarkStart w:id="4" w:name="_Toc452709198"/>
      <w:bookmarkStart w:id="5" w:name="_Toc468884675"/>
      <w:bookmarkStart w:id="6" w:name="_GoBack"/>
      <w:r w:rsidRPr="00796831">
        <w:t>201</w:t>
      </w:r>
      <w:r>
        <w:t>6</w:t>
      </w:r>
      <w:r w:rsidRPr="00796831">
        <w:t>-1</w:t>
      </w:r>
      <w:r>
        <w:t>7</w:t>
      </w:r>
      <w:r w:rsidRPr="00796831">
        <w:t xml:space="preserve"> self-assessment against the Regulator Performance Framework</w:t>
      </w:r>
      <w:bookmarkEnd w:id="3"/>
      <w:bookmarkEnd w:id="4"/>
      <w:bookmarkEnd w:id="5"/>
      <w:bookmarkEnd w:id="6"/>
    </w:p>
    <w:p w14:paraId="6AB4DE41" w14:textId="77777777" w:rsidR="00351ECA" w:rsidRDefault="00351ECA" w:rsidP="00351ECA">
      <w:pPr>
        <w:spacing w:line="240" w:lineRule="auto"/>
        <w:rPr>
          <w:rFonts w:ascii="Times New Roman" w:hAnsi="Times New Roman" w:cs="Times New Roman"/>
          <w:b/>
        </w:rPr>
      </w:pPr>
    </w:p>
    <w:p w14:paraId="0BAE65E7" w14:textId="77777777" w:rsidR="000D3731" w:rsidRDefault="000D3731" w:rsidP="00351ECA">
      <w:pPr>
        <w:spacing w:line="240" w:lineRule="auto"/>
        <w:rPr>
          <w:rFonts w:ascii="Times New Roman" w:hAnsi="Times New Roman" w:cs="Times New Roman"/>
          <w:b/>
        </w:rPr>
        <w:sectPr w:rsidR="000D3731" w:rsidSect="000D373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09" w:footer="709" w:gutter="0"/>
          <w:cols w:space="708"/>
          <w:vAlign w:val="center"/>
          <w:docGrid w:linePitch="360"/>
        </w:sectPr>
      </w:pPr>
    </w:p>
    <w:sdt>
      <w:sdtPr>
        <w:rPr>
          <w:rFonts w:asciiTheme="minorHAnsi" w:eastAsiaTheme="minorHAnsi" w:hAnsiTheme="minorHAnsi" w:cstheme="minorBidi"/>
          <w:color w:val="auto"/>
          <w:sz w:val="22"/>
          <w:szCs w:val="22"/>
          <w:lang w:val="en-AU"/>
        </w:rPr>
        <w:id w:val="424773744"/>
        <w:docPartObj>
          <w:docPartGallery w:val="Table of Contents"/>
          <w:docPartUnique/>
        </w:docPartObj>
      </w:sdtPr>
      <w:sdtEndPr>
        <w:rPr>
          <w:b/>
          <w:bCs/>
          <w:noProof/>
        </w:rPr>
      </w:sdtEndPr>
      <w:sdtContent>
        <w:p w14:paraId="37BF6457" w14:textId="77777777" w:rsidR="00351ECA" w:rsidRPr="00561C17" w:rsidRDefault="00351ECA" w:rsidP="00351ECA">
          <w:pPr>
            <w:pStyle w:val="TOCHeading"/>
            <w:spacing w:line="240" w:lineRule="auto"/>
            <w:rPr>
              <w:b/>
            </w:rPr>
          </w:pPr>
          <w:r w:rsidRPr="00561C17">
            <w:rPr>
              <w:b/>
            </w:rPr>
            <w:t>Contents</w:t>
          </w:r>
        </w:p>
        <w:p w14:paraId="447939B1" w14:textId="77777777" w:rsidR="00351ECA" w:rsidRPr="00176A72" w:rsidRDefault="00351ECA" w:rsidP="00351ECA">
          <w:pPr>
            <w:spacing w:line="240" w:lineRule="auto"/>
            <w:rPr>
              <w:lang w:val="en-US"/>
            </w:rPr>
          </w:pPr>
        </w:p>
        <w:p w14:paraId="4F6F7507" w14:textId="77777777" w:rsidR="002205A9" w:rsidRDefault="00351ECA">
          <w:pPr>
            <w:pStyle w:val="TOC1"/>
            <w:rPr>
              <w:rFonts w:eastAsiaTheme="minorEastAsia"/>
              <w:noProof/>
              <w:lang w:eastAsia="en-AU"/>
            </w:rPr>
          </w:pPr>
          <w:r>
            <w:fldChar w:fldCharType="begin"/>
          </w:r>
          <w:r>
            <w:instrText xml:space="preserve"> TOC \o "1-3" \h \z \u </w:instrText>
          </w:r>
          <w:r>
            <w:fldChar w:fldCharType="separate"/>
          </w:r>
          <w:hyperlink w:anchor="_Toc497215465" w:history="1">
            <w:r w:rsidR="002205A9" w:rsidRPr="00901095">
              <w:rPr>
                <w:rStyle w:val="Hyperlink"/>
                <w:b/>
                <w:noProof/>
              </w:rPr>
              <w:t>NOPTA - overview</w:t>
            </w:r>
            <w:r w:rsidR="002205A9">
              <w:rPr>
                <w:noProof/>
                <w:webHidden/>
              </w:rPr>
              <w:tab/>
            </w:r>
            <w:r w:rsidR="002205A9">
              <w:rPr>
                <w:noProof/>
                <w:webHidden/>
              </w:rPr>
              <w:fldChar w:fldCharType="begin"/>
            </w:r>
            <w:r w:rsidR="002205A9">
              <w:rPr>
                <w:noProof/>
                <w:webHidden/>
              </w:rPr>
              <w:instrText xml:space="preserve"> PAGEREF _Toc497215465 \h </w:instrText>
            </w:r>
            <w:r w:rsidR="002205A9">
              <w:rPr>
                <w:noProof/>
                <w:webHidden/>
              </w:rPr>
            </w:r>
            <w:r w:rsidR="002205A9">
              <w:rPr>
                <w:noProof/>
                <w:webHidden/>
              </w:rPr>
              <w:fldChar w:fldCharType="separate"/>
            </w:r>
            <w:r w:rsidR="00995A4D">
              <w:rPr>
                <w:noProof/>
                <w:webHidden/>
              </w:rPr>
              <w:t>2</w:t>
            </w:r>
            <w:r w:rsidR="002205A9">
              <w:rPr>
                <w:noProof/>
                <w:webHidden/>
              </w:rPr>
              <w:fldChar w:fldCharType="end"/>
            </w:r>
          </w:hyperlink>
        </w:p>
        <w:p w14:paraId="01E97E8A" w14:textId="77777777" w:rsidR="002205A9" w:rsidRDefault="003C52A9">
          <w:pPr>
            <w:pStyle w:val="TOC1"/>
            <w:rPr>
              <w:rFonts w:eastAsiaTheme="minorEastAsia"/>
              <w:noProof/>
              <w:lang w:eastAsia="en-AU"/>
            </w:rPr>
          </w:pPr>
          <w:hyperlink w:anchor="_Toc497215466" w:history="1">
            <w:r w:rsidR="002205A9" w:rsidRPr="00901095">
              <w:rPr>
                <w:rStyle w:val="Hyperlink"/>
                <w:b/>
                <w:noProof/>
              </w:rPr>
              <w:t>Governance</w:t>
            </w:r>
            <w:r w:rsidR="002205A9">
              <w:rPr>
                <w:noProof/>
                <w:webHidden/>
              </w:rPr>
              <w:tab/>
            </w:r>
            <w:r w:rsidR="002205A9">
              <w:rPr>
                <w:noProof/>
                <w:webHidden/>
              </w:rPr>
              <w:fldChar w:fldCharType="begin"/>
            </w:r>
            <w:r w:rsidR="002205A9">
              <w:rPr>
                <w:noProof/>
                <w:webHidden/>
              </w:rPr>
              <w:instrText xml:space="preserve"> PAGEREF _Toc497215466 \h </w:instrText>
            </w:r>
            <w:r w:rsidR="002205A9">
              <w:rPr>
                <w:noProof/>
                <w:webHidden/>
              </w:rPr>
            </w:r>
            <w:r w:rsidR="002205A9">
              <w:rPr>
                <w:noProof/>
                <w:webHidden/>
              </w:rPr>
              <w:fldChar w:fldCharType="separate"/>
            </w:r>
            <w:r w:rsidR="00995A4D">
              <w:rPr>
                <w:noProof/>
                <w:webHidden/>
              </w:rPr>
              <w:t>3</w:t>
            </w:r>
            <w:r w:rsidR="002205A9">
              <w:rPr>
                <w:noProof/>
                <w:webHidden/>
              </w:rPr>
              <w:fldChar w:fldCharType="end"/>
            </w:r>
          </w:hyperlink>
        </w:p>
        <w:p w14:paraId="75A8244F" w14:textId="77777777" w:rsidR="002205A9" w:rsidRDefault="003C52A9">
          <w:pPr>
            <w:pStyle w:val="TOC1"/>
            <w:rPr>
              <w:rFonts w:eastAsiaTheme="minorEastAsia"/>
              <w:noProof/>
              <w:lang w:eastAsia="en-AU"/>
            </w:rPr>
          </w:pPr>
          <w:hyperlink w:anchor="_Toc497215467" w:history="1">
            <w:r w:rsidR="002205A9" w:rsidRPr="00901095">
              <w:rPr>
                <w:rStyle w:val="Hyperlink"/>
                <w:b/>
                <w:noProof/>
              </w:rPr>
              <w:t>About NOPTA</w:t>
            </w:r>
            <w:r w:rsidR="002205A9">
              <w:rPr>
                <w:noProof/>
                <w:webHidden/>
              </w:rPr>
              <w:tab/>
            </w:r>
            <w:r w:rsidR="002205A9">
              <w:rPr>
                <w:noProof/>
                <w:webHidden/>
              </w:rPr>
              <w:fldChar w:fldCharType="begin"/>
            </w:r>
            <w:r w:rsidR="002205A9">
              <w:rPr>
                <w:noProof/>
                <w:webHidden/>
              </w:rPr>
              <w:instrText xml:space="preserve"> PAGEREF _Toc497215467 \h </w:instrText>
            </w:r>
            <w:r w:rsidR="002205A9">
              <w:rPr>
                <w:noProof/>
                <w:webHidden/>
              </w:rPr>
            </w:r>
            <w:r w:rsidR="002205A9">
              <w:rPr>
                <w:noProof/>
                <w:webHidden/>
              </w:rPr>
              <w:fldChar w:fldCharType="separate"/>
            </w:r>
            <w:r w:rsidR="00995A4D">
              <w:rPr>
                <w:noProof/>
                <w:webHidden/>
              </w:rPr>
              <w:t>3</w:t>
            </w:r>
            <w:r w:rsidR="002205A9">
              <w:rPr>
                <w:noProof/>
                <w:webHidden/>
              </w:rPr>
              <w:fldChar w:fldCharType="end"/>
            </w:r>
          </w:hyperlink>
        </w:p>
        <w:p w14:paraId="4E85E309" w14:textId="77777777" w:rsidR="002205A9" w:rsidRDefault="003C52A9">
          <w:pPr>
            <w:pStyle w:val="TOC2"/>
            <w:tabs>
              <w:tab w:val="right" w:leader="dot" w:pos="9016"/>
            </w:tabs>
            <w:rPr>
              <w:rFonts w:eastAsiaTheme="minorEastAsia"/>
              <w:noProof/>
              <w:lang w:eastAsia="en-AU"/>
            </w:rPr>
          </w:pPr>
          <w:hyperlink w:anchor="_Toc497215468" w:history="1">
            <w:r w:rsidR="002205A9" w:rsidRPr="00901095">
              <w:rPr>
                <w:rStyle w:val="Hyperlink"/>
                <w:b/>
                <w:noProof/>
              </w:rPr>
              <w:t>KPI 1: Regulators do not unnecessarily impede the efficient operation of regulated entities</w:t>
            </w:r>
            <w:r w:rsidR="002205A9">
              <w:rPr>
                <w:noProof/>
                <w:webHidden/>
              </w:rPr>
              <w:tab/>
            </w:r>
            <w:r w:rsidR="002205A9">
              <w:rPr>
                <w:noProof/>
                <w:webHidden/>
              </w:rPr>
              <w:fldChar w:fldCharType="begin"/>
            </w:r>
            <w:r w:rsidR="002205A9">
              <w:rPr>
                <w:noProof/>
                <w:webHidden/>
              </w:rPr>
              <w:instrText xml:space="preserve"> PAGEREF _Toc497215468 \h </w:instrText>
            </w:r>
            <w:r w:rsidR="002205A9">
              <w:rPr>
                <w:noProof/>
                <w:webHidden/>
              </w:rPr>
            </w:r>
            <w:r w:rsidR="002205A9">
              <w:rPr>
                <w:noProof/>
                <w:webHidden/>
              </w:rPr>
              <w:fldChar w:fldCharType="separate"/>
            </w:r>
            <w:r w:rsidR="00995A4D">
              <w:rPr>
                <w:noProof/>
                <w:webHidden/>
              </w:rPr>
              <w:t>4</w:t>
            </w:r>
            <w:r w:rsidR="002205A9">
              <w:rPr>
                <w:noProof/>
                <w:webHidden/>
              </w:rPr>
              <w:fldChar w:fldCharType="end"/>
            </w:r>
          </w:hyperlink>
        </w:p>
        <w:p w14:paraId="0163B640" w14:textId="77777777" w:rsidR="002205A9" w:rsidRDefault="003C52A9">
          <w:pPr>
            <w:pStyle w:val="TOC2"/>
            <w:tabs>
              <w:tab w:val="right" w:leader="dot" w:pos="9016"/>
            </w:tabs>
            <w:rPr>
              <w:rFonts w:eastAsiaTheme="minorEastAsia"/>
              <w:noProof/>
              <w:lang w:eastAsia="en-AU"/>
            </w:rPr>
          </w:pPr>
          <w:hyperlink w:anchor="_Toc497215469" w:history="1">
            <w:r w:rsidR="002205A9" w:rsidRPr="00901095">
              <w:rPr>
                <w:rStyle w:val="Hyperlink"/>
                <w:noProof/>
              </w:rPr>
              <w:t>KPI Expectations</w:t>
            </w:r>
            <w:r w:rsidR="002205A9">
              <w:rPr>
                <w:noProof/>
                <w:webHidden/>
              </w:rPr>
              <w:tab/>
            </w:r>
            <w:r w:rsidR="002205A9">
              <w:rPr>
                <w:noProof/>
                <w:webHidden/>
              </w:rPr>
              <w:fldChar w:fldCharType="begin"/>
            </w:r>
            <w:r w:rsidR="002205A9">
              <w:rPr>
                <w:noProof/>
                <w:webHidden/>
              </w:rPr>
              <w:instrText xml:space="preserve"> PAGEREF _Toc497215469 \h </w:instrText>
            </w:r>
            <w:r w:rsidR="002205A9">
              <w:rPr>
                <w:noProof/>
                <w:webHidden/>
              </w:rPr>
            </w:r>
            <w:r w:rsidR="002205A9">
              <w:rPr>
                <w:noProof/>
                <w:webHidden/>
              </w:rPr>
              <w:fldChar w:fldCharType="separate"/>
            </w:r>
            <w:r w:rsidR="00995A4D">
              <w:rPr>
                <w:noProof/>
                <w:webHidden/>
              </w:rPr>
              <w:t>4</w:t>
            </w:r>
            <w:r w:rsidR="002205A9">
              <w:rPr>
                <w:noProof/>
                <w:webHidden/>
              </w:rPr>
              <w:fldChar w:fldCharType="end"/>
            </w:r>
          </w:hyperlink>
        </w:p>
        <w:p w14:paraId="695370E4" w14:textId="77777777" w:rsidR="002205A9" w:rsidRDefault="003C52A9">
          <w:pPr>
            <w:pStyle w:val="TOC2"/>
            <w:tabs>
              <w:tab w:val="right" w:leader="dot" w:pos="9016"/>
            </w:tabs>
            <w:rPr>
              <w:rFonts w:eastAsiaTheme="minorEastAsia"/>
              <w:noProof/>
              <w:lang w:eastAsia="en-AU"/>
            </w:rPr>
          </w:pPr>
          <w:hyperlink w:anchor="_Toc497215470" w:history="1">
            <w:r w:rsidR="002205A9" w:rsidRPr="00901095">
              <w:rPr>
                <w:rStyle w:val="Hyperlink"/>
                <w:noProof/>
              </w:rPr>
              <w:t>NOPTA’s Approach</w:t>
            </w:r>
            <w:r w:rsidR="002205A9">
              <w:rPr>
                <w:noProof/>
                <w:webHidden/>
              </w:rPr>
              <w:tab/>
            </w:r>
            <w:r w:rsidR="002205A9">
              <w:rPr>
                <w:noProof/>
                <w:webHidden/>
              </w:rPr>
              <w:fldChar w:fldCharType="begin"/>
            </w:r>
            <w:r w:rsidR="002205A9">
              <w:rPr>
                <w:noProof/>
                <w:webHidden/>
              </w:rPr>
              <w:instrText xml:space="preserve"> PAGEREF _Toc497215470 \h </w:instrText>
            </w:r>
            <w:r w:rsidR="002205A9">
              <w:rPr>
                <w:noProof/>
                <w:webHidden/>
              </w:rPr>
            </w:r>
            <w:r w:rsidR="002205A9">
              <w:rPr>
                <w:noProof/>
                <w:webHidden/>
              </w:rPr>
              <w:fldChar w:fldCharType="separate"/>
            </w:r>
            <w:r w:rsidR="00995A4D">
              <w:rPr>
                <w:noProof/>
                <w:webHidden/>
              </w:rPr>
              <w:t>4</w:t>
            </w:r>
            <w:r w:rsidR="002205A9">
              <w:rPr>
                <w:noProof/>
                <w:webHidden/>
              </w:rPr>
              <w:fldChar w:fldCharType="end"/>
            </w:r>
          </w:hyperlink>
        </w:p>
        <w:p w14:paraId="411ECB26" w14:textId="77777777" w:rsidR="002205A9" w:rsidRDefault="003C52A9">
          <w:pPr>
            <w:pStyle w:val="TOC2"/>
            <w:tabs>
              <w:tab w:val="right" w:leader="dot" w:pos="9016"/>
            </w:tabs>
            <w:rPr>
              <w:rFonts w:eastAsiaTheme="minorEastAsia"/>
              <w:noProof/>
              <w:lang w:eastAsia="en-AU"/>
            </w:rPr>
          </w:pPr>
          <w:hyperlink w:anchor="_Toc497215471" w:history="1">
            <w:r w:rsidR="002205A9" w:rsidRPr="00901095">
              <w:rPr>
                <w:rStyle w:val="Hyperlink"/>
                <w:noProof/>
              </w:rPr>
              <w:t>Results</w:t>
            </w:r>
            <w:r w:rsidR="002205A9">
              <w:rPr>
                <w:noProof/>
                <w:webHidden/>
              </w:rPr>
              <w:tab/>
            </w:r>
            <w:r w:rsidR="002205A9">
              <w:rPr>
                <w:noProof/>
                <w:webHidden/>
              </w:rPr>
              <w:fldChar w:fldCharType="begin"/>
            </w:r>
            <w:r w:rsidR="002205A9">
              <w:rPr>
                <w:noProof/>
                <w:webHidden/>
              </w:rPr>
              <w:instrText xml:space="preserve"> PAGEREF _Toc497215471 \h </w:instrText>
            </w:r>
            <w:r w:rsidR="002205A9">
              <w:rPr>
                <w:noProof/>
                <w:webHidden/>
              </w:rPr>
            </w:r>
            <w:r w:rsidR="002205A9">
              <w:rPr>
                <w:noProof/>
                <w:webHidden/>
              </w:rPr>
              <w:fldChar w:fldCharType="separate"/>
            </w:r>
            <w:r w:rsidR="00995A4D">
              <w:rPr>
                <w:noProof/>
                <w:webHidden/>
              </w:rPr>
              <w:t>4</w:t>
            </w:r>
            <w:r w:rsidR="002205A9">
              <w:rPr>
                <w:noProof/>
                <w:webHidden/>
              </w:rPr>
              <w:fldChar w:fldCharType="end"/>
            </w:r>
          </w:hyperlink>
        </w:p>
        <w:p w14:paraId="55643A75" w14:textId="77777777" w:rsidR="002205A9" w:rsidRDefault="003C52A9">
          <w:pPr>
            <w:pStyle w:val="TOC2"/>
            <w:tabs>
              <w:tab w:val="right" w:leader="dot" w:pos="9016"/>
            </w:tabs>
            <w:rPr>
              <w:rFonts w:eastAsiaTheme="minorEastAsia"/>
              <w:noProof/>
              <w:lang w:eastAsia="en-AU"/>
            </w:rPr>
          </w:pPr>
          <w:hyperlink w:anchor="_Toc497215472" w:history="1">
            <w:r w:rsidR="002205A9" w:rsidRPr="00901095">
              <w:rPr>
                <w:rStyle w:val="Hyperlink"/>
                <w:b/>
                <w:noProof/>
              </w:rPr>
              <w:t>KPI 2: Communication with regulated entities is clear, targeted and effective</w:t>
            </w:r>
            <w:r w:rsidR="002205A9">
              <w:rPr>
                <w:noProof/>
                <w:webHidden/>
              </w:rPr>
              <w:tab/>
            </w:r>
            <w:r w:rsidR="002205A9">
              <w:rPr>
                <w:noProof/>
                <w:webHidden/>
              </w:rPr>
              <w:fldChar w:fldCharType="begin"/>
            </w:r>
            <w:r w:rsidR="002205A9">
              <w:rPr>
                <w:noProof/>
                <w:webHidden/>
              </w:rPr>
              <w:instrText xml:space="preserve"> PAGEREF _Toc497215472 \h </w:instrText>
            </w:r>
            <w:r w:rsidR="002205A9">
              <w:rPr>
                <w:noProof/>
                <w:webHidden/>
              </w:rPr>
            </w:r>
            <w:r w:rsidR="002205A9">
              <w:rPr>
                <w:noProof/>
                <w:webHidden/>
              </w:rPr>
              <w:fldChar w:fldCharType="separate"/>
            </w:r>
            <w:r w:rsidR="00995A4D">
              <w:rPr>
                <w:noProof/>
                <w:webHidden/>
              </w:rPr>
              <w:t>5</w:t>
            </w:r>
            <w:r w:rsidR="002205A9">
              <w:rPr>
                <w:noProof/>
                <w:webHidden/>
              </w:rPr>
              <w:fldChar w:fldCharType="end"/>
            </w:r>
          </w:hyperlink>
        </w:p>
        <w:p w14:paraId="0123898D" w14:textId="77777777" w:rsidR="002205A9" w:rsidRDefault="003C52A9">
          <w:pPr>
            <w:pStyle w:val="TOC2"/>
            <w:tabs>
              <w:tab w:val="right" w:leader="dot" w:pos="9016"/>
            </w:tabs>
            <w:rPr>
              <w:rFonts w:eastAsiaTheme="minorEastAsia"/>
              <w:noProof/>
              <w:lang w:eastAsia="en-AU"/>
            </w:rPr>
          </w:pPr>
          <w:hyperlink w:anchor="_Toc497215473" w:history="1">
            <w:r w:rsidR="002205A9" w:rsidRPr="00901095">
              <w:rPr>
                <w:rStyle w:val="Hyperlink"/>
                <w:noProof/>
              </w:rPr>
              <w:t>KPI Expectations</w:t>
            </w:r>
            <w:r w:rsidR="002205A9">
              <w:rPr>
                <w:noProof/>
                <w:webHidden/>
              </w:rPr>
              <w:tab/>
            </w:r>
            <w:r w:rsidR="002205A9">
              <w:rPr>
                <w:noProof/>
                <w:webHidden/>
              </w:rPr>
              <w:fldChar w:fldCharType="begin"/>
            </w:r>
            <w:r w:rsidR="002205A9">
              <w:rPr>
                <w:noProof/>
                <w:webHidden/>
              </w:rPr>
              <w:instrText xml:space="preserve"> PAGEREF _Toc497215473 \h </w:instrText>
            </w:r>
            <w:r w:rsidR="002205A9">
              <w:rPr>
                <w:noProof/>
                <w:webHidden/>
              </w:rPr>
            </w:r>
            <w:r w:rsidR="002205A9">
              <w:rPr>
                <w:noProof/>
                <w:webHidden/>
              </w:rPr>
              <w:fldChar w:fldCharType="separate"/>
            </w:r>
            <w:r w:rsidR="00995A4D">
              <w:rPr>
                <w:noProof/>
                <w:webHidden/>
              </w:rPr>
              <w:t>5</w:t>
            </w:r>
            <w:r w:rsidR="002205A9">
              <w:rPr>
                <w:noProof/>
                <w:webHidden/>
              </w:rPr>
              <w:fldChar w:fldCharType="end"/>
            </w:r>
          </w:hyperlink>
        </w:p>
        <w:p w14:paraId="4B60A10A" w14:textId="77777777" w:rsidR="002205A9" w:rsidRDefault="003C52A9">
          <w:pPr>
            <w:pStyle w:val="TOC2"/>
            <w:tabs>
              <w:tab w:val="right" w:leader="dot" w:pos="9016"/>
            </w:tabs>
            <w:rPr>
              <w:rFonts w:eastAsiaTheme="minorEastAsia"/>
              <w:noProof/>
              <w:lang w:eastAsia="en-AU"/>
            </w:rPr>
          </w:pPr>
          <w:hyperlink w:anchor="_Toc497215474" w:history="1">
            <w:r w:rsidR="002205A9" w:rsidRPr="00901095">
              <w:rPr>
                <w:rStyle w:val="Hyperlink"/>
                <w:noProof/>
              </w:rPr>
              <w:t>NOPTA’s Approach</w:t>
            </w:r>
            <w:r w:rsidR="002205A9">
              <w:rPr>
                <w:noProof/>
                <w:webHidden/>
              </w:rPr>
              <w:tab/>
            </w:r>
            <w:r w:rsidR="002205A9">
              <w:rPr>
                <w:noProof/>
                <w:webHidden/>
              </w:rPr>
              <w:fldChar w:fldCharType="begin"/>
            </w:r>
            <w:r w:rsidR="002205A9">
              <w:rPr>
                <w:noProof/>
                <w:webHidden/>
              </w:rPr>
              <w:instrText xml:space="preserve"> PAGEREF _Toc497215474 \h </w:instrText>
            </w:r>
            <w:r w:rsidR="002205A9">
              <w:rPr>
                <w:noProof/>
                <w:webHidden/>
              </w:rPr>
            </w:r>
            <w:r w:rsidR="002205A9">
              <w:rPr>
                <w:noProof/>
                <w:webHidden/>
              </w:rPr>
              <w:fldChar w:fldCharType="separate"/>
            </w:r>
            <w:r w:rsidR="00995A4D">
              <w:rPr>
                <w:noProof/>
                <w:webHidden/>
              </w:rPr>
              <w:t>5</w:t>
            </w:r>
            <w:r w:rsidR="002205A9">
              <w:rPr>
                <w:noProof/>
                <w:webHidden/>
              </w:rPr>
              <w:fldChar w:fldCharType="end"/>
            </w:r>
          </w:hyperlink>
        </w:p>
        <w:p w14:paraId="550EED07" w14:textId="77777777" w:rsidR="002205A9" w:rsidRDefault="003C52A9">
          <w:pPr>
            <w:pStyle w:val="TOC2"/>
            <w:tabs>
              <w:tab w:val="right" w:leader="dot" w:pos="9016"/>
            </w:tabs>
            <w:rPr>
              <w:rFonts w:eastAsiaTheme="minorEastAsia"/>
              <w:noProof/>
              <w:lang w:eastAsia="en-AU"/>
            </w:rPr>
          </w:pPr>
          <w:hyperlink w:anchor="_Toc497215475" w:history="1">
            <w:r w:rsidR="002205A9" w:rsidRPr="00901095">
              <w:rPr>
                <w:rStyle w:val="Hyperlink"/>
                <w:noProof/>
              </w:rPr>
              <w:t>Results</w:t>
            </w:r>
            <w:r w:rsidR="002205A9">
              <w:rPr>
                <w:noProof/>
                <w:webHidden/>
              </w:rPr>
              <w:tab/>
            </w:r>
            <w:r w:rsidR="002205A9">
              <w:rPr>
                <w:noProof/>
                <w:webHidden/>
              </w:rPr>
              <w:fldChar w:fldCharType="begin"/>
            </w:r>
            <w:r w:rsidR="002205A9">
              <w:rPr>
                <w:noProof/>
                <w:webHidden/>
              </w:rPr>
              <w:instrText xml:space="preserve"> PAGEREF _Toc497215475 \h </w:instrText>
            </w:r>
            <w:r w:rsidR="002205A9">
              <w:rPr>
                <w:noProof/>
                <w:webHidden/>
              </w:rPr>
            </w:r>
            <w:r w:rsidR="002205A9">
              <w:rPr>
                <w:noProof/>
                <w:webHidden/>
              </w:rPr>
              <w:fldChar w:fldCharType="separate"/>
            </w:r>
            <w:r w:rsidR="00995A4D">
              <w:rPr>
                <w:noProof/>
                <w:webHidden/>
              </w:rPr>
              <w:t>5</w:t>
            </w:r>
            <w:r w:rsidR="002205A9">
              <w:rPr>
                <w:noProof/>
                <w:webHidden/>
              </w:rPr>
              <w:fldChar w:fldCharType="end"/>
            </w:r>
          </w:hyperlink>
        </w:p>
        <w:p w14:paraId="38A7F62B" w14:textId="77777777" w:rsidR="002205A9" w:rsidRDefault="003C52A9">
          <w:pPr>
            <w:pStyle w:val="TOC2"/>
            <w:tabs>
              <w:tab w:val="right" w:leader="dot" w:pos="9016"/>
            </w:tabs>
            <w:rPr>
              <w:rFonts w:eastAsiaTheme="minorEastAsia"/>
              <w:noProof/>
              <w:lang w:eastAsia="en-AU"/>
            </w:rPr>
          </w:pPr>
          <w:hyperlink w:anchor="_Toc497215476" w:history="1">
            <w:r w:rsidR="002205A9" w:rsidRPr="00901095">
              <w:rPr>
                <w:rStyle w:val="Hyperlink"/>
                <w:b/>
                <w:noProof/>
              </w:rPr>
              <w:t>KPI 3: Actions undertaken by regulators are proportionate to the regulatory risk being managed</w:t>
            </w:r>
            <w:r w:rsidR="002205A9">
              <w:rPr>
                <w:noProof/>
                <w:webHidden/>
              </w:rPr>
              <w:tab/>
            </w:r>
            <w:r w:rsidR="002205A9">
              <w:rPr>
                <w:noProof/>
                <w:webHidden/>
              </w:rPr>
              <w:fldChar w:fldCharType="begin"/>
            </w:r>
            <w:r w:rsidR="002205A9">
              <w:rPr>
                <w:noProof/>
                <w:webHidden/>
              </w:rPr>
              <w:instrText xml:space="preserve"> PAGEREF _Toc497215476 \h </w:instrText>
            </w:r>
            <w:r w:rsidR="002205A9">
              <w:rPr>
                <w:noProof/>
                <w:webHidden/>
              </w:rPr>
            </w:r>
            <w:r w:rsidR="002205A9">
              <w:rPr>
                <w:noProof/>
                <w:webHidden/>
              </w:rPr>
              <w:fldChar w:fldCharType="separate"/>
            </w:r>
            <w:r w:rsidR="00995A4D">
              <w:rPr>
                <w:noProof/>
                <w:webHidden/>
              </w:rPr>
              <w:t>6</w:t>
            </w:r>
            <w:r w:rsidR="002205A9">
              <w:rPr>
                <w:noProof/>
                <w:webHidden/>
              </w:rPr>
              <w:fldChar w:fldCharType="end"/>
            </w:r>
          </w:hyperlink>
        </w:p>
        <w:p w14:paraId="1E9B942F" w14:textId="77777777" w:rsidR="002205A9" w:rsidRDefault="003C52A9">
          <w:pPr>
            <w:pStyle w:val="TOC2"/>
            <w:tabs>
              <w:tab w:val="right" w:leader="dot" w:pos="9016"/>
            </w:tabs>
            <w:rPr>
              <w:rFonts w:eastAsiaTheme="minorEastAsia"/>
              <w:noProof/>
              <w:lang w:eastAsia="en-AU"/>
            </w:rPr>
          </w:pPr>
          <w:hyperlink w:anchor="_Toc497215477" w:history="1">
            <w:r w:rsidR="002205A9" w:rsidRPr="00901095">
              <w:rPr>
                <w:rStyle w:val="Hyperlink"/>
                <w:noProof/>
              </w:rPr>
              <w:t>KPI Expectations</w:t>
            </w:r>
            <w:r w:rsidR="002205A9">
              <w:rPr>
                <w:noProof/>
                <w:webHidden/>
              </w:rPr>
              <w:tab/>
            </w:r>
            <w:r w:rsidR="002205A9">
              <w:rPr>
                <w:noProof/>
                <w:webHidden/>
              </w:rPr>
              <w:fldChar w:fldCharType="begin"/>
            </w:r>
            <w:r w:rsidR="002205A9">
              <w:rPr>
                <w:noProof/>
                <w:webHidden/>
              </w:rPr>
              <w:instrText xml:space="preserve"> PAGEREF _Toc497215477 \h </w:instrText>
            </w:r>
            <w:r w:rsidR="002205A9">
              <w:rPr>
                <w:noProof/>
                <w:webHidden/>
              </w:rPr>
            </w:r>
            <w:r w:rsidR="002205A9">
              <w:rPr>
                <w:noProof/>
                <w:webHidden/>
              </w:rPr>
              <w:fldChar w:fldCharType="separate"/>
            </w:r>
            <w:r w:rsidR="00995A4D">
              <w:rPr>
                <w:noProof/>
                <w:webHidden/>
              </w:rPr>
              <w:t>6</w:t>
            </w:r>
            <w:r w:rsidR="002205A9">
              <w:rPr>
                <w:noProof/>
                <w:webHidden/>
              </w:rPr>
              <w:fldChar w:fldCharType="end"/>
            </w:r>
          </w:hyperlink>
        </w:p>
        <w:p w14:paraId="51908A44" w14:textId="77777777" w:rsidR="002205A9" w:rsidRDefault="003C52A9">
          <w:pPr>
            <w:pStyle w:val="TOC2"/>
            <w:tabs>
              <w:tab w:val="right" w:leader="dot" w:pos="9016"/>
            </w:tabs>
            <w:rPr>
              <w:rFonts w:eastAsiaTheme="minorEastAsia"/>
              <w:noProof/>
              <w:lang w:eastAsia="en-AU"/>
            </w:rPr>
          </w:pPr>
          <w:hyperlink w:anchor="_Toc497215478" w:history="1">
            <w:r w:rsidR="002205A9" w:rsidRPr="00901095">
              <w:rPr>
                <w:rStyle w:val="Hyperlink"/>
                <w:noProof/>
              </w:rPr>
              <w:t>NOPTA’s Approach</w:t>
            </w:r>
            <w:r w:rsidR="002205A9">
              <w:rPr>
                <w:noProof/>
                <w:webHidden/>
              </w:rPr>
              <w:tab/>
            </w:r>
            <w:r w:rsidR="002205A9">
              <w:rPr>
                <w:noProof/>
                <w:webHidden/>
              </w:rPr>
              <w:fldChar w:fldCharType="begin"/>
            </w:r>
            <w:r w:rsidR="002205A9">
              <w:rPr>
                <w:noProof/>
                <w:webHidden/>
              </w:rPr>
              <w:instrText xml:space="preserve"> PAGEREF _Toc497215478 \h </w:instrText>
            </w:r>
            <w:r w:rsidR="002205A9">
              <w:rPr>
                <w:noProof/>
                <w:webHidden/>
              </w:rPr>
            </w:r>
            <w:r w:rsidR="002205A9">
              <w:rPr>
                <w:noProof/>
                <w:webHidden/>
              </w:rPr>
              <w:fldChar w:fldCharType="separate"/>
            </w:r>
            <w:r w:rsidR="00995A4D">
              <w:rPr>
                <w:noProof/>
                <w:webHidden/>
              </w:rPr>
              <w:t>6</w:t>
            </w:r>
            <w:r w:rsidR="002205A9">
              <w:rPr>
                <w:noProof/>
                <w:webHidden/>
              </w:rPr>
              <w:fldChar w:fldCharType="end"/>
            </w:r>
          </w:hyperlink>
        </w:p>
        <w:p w14:paraId="31153F93" w14:textId="77777777" w:rsidR="002205A9" w:rsidRDefault="003C52A9">
          <w:pPr>
            <w:pStyle w:val="TOC2"/>
            <w:tabs>
              <w:tab w:val="right" w:leader="dot" w:pos="9016"/>
            </w:tabs>
            <w:rPr>
              <w:rFonts w:eastAsiaTheme="minorEastAsia"/>
              <w:noProof/>
              <w:lang w:eastAsia="en-AU"/>
            </w:rPr>
          </w:pPr>
          <w:hyperlink w:anchor="_Toc497215479" w:history="1">
            <w:r w:rsidR="002205A9" w:rsidRPr="00901095">
              <w:rPr>
                <w:rStyle w:val="Hyperlink"/>
                <w:noProof/>
              </w:rPr>
              <w:t>Results</w:t>
            </w:r>
            <w:r w:rsidR="002205A9">
              <w:rPr>
                <w:noProof/>
                <w:webHidden/>
              </w:rPr>
              <w:tab/>
            </w:r>
            <w:r w:rsidR="002205A9">
              <w:rPr>
                <w:noProof/>
                <w:webHidden/>
              </w:rPr>
              <w:fldChar w:fldCharType="begin"/>
            </w:r>
            <w:r w:rsidR="002205A9">
              <w:rPr>
                <w:noProof/>
                <w:webHidden/>
              </w:rPr>
              <w:instrText xml:space="preserve"> PAGEREF _Toc497215479 \h </w:instrText>
            </w:r>
            <w:r w:rsidR="002205A9">
              <w:rPr>
                <w:noProof/>
                <w:webHidden/>
              </w:rPr>
            </w:r>
            <w:r w:rsidR="002205A9">
              <w:rPr>
                <w:noProof/>
                <w:webHidden/>
              </w:rPr>
              <w:fldChar w:fldCharType="separate"/>
            </w:r>
            <w:r w:rsidR="00995A4D">
              <w:rPr>
                <w:noProof/>
                <w:webHidden/>
              </w:rPr>
              <w:t>6</w:t>
            </w:r>
            <w:r w:rsidR="002205A9">
              <w:rPr>
                <w:noProof/>
                <w:webHidden/>
              </w:rPr>
              <w:fldChar w:fldCharType="end"/>
            </w:r>
          </w:hyperlink>
        </w:p>
        <w:p w14:paraId="1734C152" w14:textId="77777777" w:rsidR="002205A9" w:rsidRDefault="003C52A9">
          <w:pPr>
            <w:pStyle w:val="TOC2"/>
            <w:tabs>
              <w:tab w:val="right" w:leader="dot" w:pos="9016"/>
            </w:tabs>
            <w:rPr>
              <w:rFonts w:eastAsiaTheme="minorEastAsia"/>
              <w:noProof/>
              <w:lang w:eastAsia="en-AU"/>
            </w:rPr>
          </w:pPr>
          <w:hyperlink w:anchor="_Toc497215480" w:history="1">
            <w:r w:rsidR="002205A9" w:rsidRPr="00901095">
              <w:rPr>
                <w:rStyle w:val="Hyperlink"/>
                <w:b/>
                <w:noProof/>
              </w:rPr>
              <w:t>KPI 4: Compliance and monitoring approaches are streamlined and coordinated</w:t>
            </w:r>
            <w:r w:rsidR="002205A9">
              <w:rPr>
                <w:noProof/>
                <w:webHidden/>
              </w:rPr>
              <w:tab/>
            </w:r>
            <w:r w:rsidR="002205A9">
              <w:rPr>
                <w:noProof/>
                <w:webHidden/>
              </w:rPr>
              <w:fldChar w:fldCharType="begin"/>
            </w:r>
            <w:r w:rsidR="002205A9">
              <w:rPr>
                <w:noProof/>
                <w:webHidden/>
              </w:rPr>
              <w:instrText xml:space="preserve"> PAGEREF _Toc497215480 \h </w:instrText>
            </w:r>
            <w:r w:rsidR="002205A9">
              <w:rPr>
                <w:noProof/>
                <w:webHidden/>
              </w:rPr>
            </w:r>
            <w:r w:rsidR="002205A9">
              <w:rPr>
                <w:noProof/>
                <w:webHidden/>
              </w:rPr>
              <w:fldChar w:fldCharType="separate"/>
            </w:r>
            <w:r w:rsidR="00995A4D">
              <w:rPr>
                <w:noProof/>
                <w:webHidden/>
              </w:rPr>
              <w:t>7</w:t>
            </w:r>
            <w:r w:rsidR="002205A9">
              <w:rPr>
                <w:noProof/>
                <w:webHidden/>
              </w:rPr>
              <w:fldChar w:fldCharType="end"/>
            </w:r>
          </w:hyperlink>
        </w:p>
        <w:p w14:paraId="5DE9353D" w14:textId="77777777" w:rsidR="002205A9" w:rsidRDefault="003C52A9">
          <w:pPr>
            <w:pStyle w:val="TOC2"/>
            <w:tabs>
              <w:tab w:val="right" w:leader="dot" w:pos="9016"/>
            </w:tabs>
            <w:rPr>
              <w:rFonts w:eastAsiaTheme="minorEastAsia"/>
              <w:noProof/>
              <w:lang w:eastAsia="en-AU"/>
            </w:rPr>
          </w:pPr>
          <w:hyperlink w:anchor="_Toc497215481" w:history="1">
            <w:r w:rsidR="002205A9" w:rsidRPr="00901095">
              <w:rPr>
                <w:rStyle w:val="Hyperlink"/>
                <w:noProof/>
              </w:rPr>
              <w:t>KPI Expectations</w:t>
            </w:r>
            <w:r w:rsidR="002205A9">
              <w:rPr>
                <w:noProof/>
                <w:webHidden/>
              </w:rPr>
              <w:tab/>
            </w:r>
            <w:r w:rsidR="002205A9">
              <w:rPr>
                <w:noProof/>
                <w:webHidden/>
              </w:rPr>
              <w:fldChar w:fldCharType="begin"/>
            </w:r>
            <w:r w:rsidR="002205A9">
              <w:rPr>
                <w:noProof/>
                <w:webHidden/>
              </w:rPr>
              <w:instrText xml:space="preserve"> PAGEREF _Toc497215481 \h </w:instrText>
            </w:r>
            <w:r w:rsidR="002205A9">
              <w:rPr>
                <w:noProof/>
                <w:webHidden/>
              </w:rPr>
            </w:r>
            <w:r w:rsidR="002205A9">
              <w:rPr>
                <w:noProof/>
                <w:webHidden/>
              </w:rPr>
              <w:fldChar w:fldCharType="separate"/>
            </w:r>
            <w:r w:rsidR="00995A4D">
              <w:rPr>
                <w:noProof/>
                <w:webHidden/>
              </w:rPr>
              <w:t>7</w:t>
            </w:r>
            <w:r w:rsidR="002205A9">
              <w:rPr>
                <w:noProof/>
                <w:webHidden/>
              </w:rPr>
              <w:fldChar w:fldCharType="end"/>
            </w:r>
          </w:hyperlink>
        </w:p>
        <w:p w14:paraId="56AC45D1" w14:textId="77777777" w:rsidR="002205A9" w:rsidRDefault="003C52A9">
          <w:pPr>
            <w:pStyle w:val="TOC2"/>
            <w:tabs>
              <w:tab w:val="right" w:leader="dot" w:pos="9016"/>
            </w:tabs>
            <w:rPr>
              <w:rFonts w:eastAsiaTheme="minorEastAsia"/>
              <w:noProof/>
              <w:lang w:eastAsia="en-AU"/>
            </w:rPr>
          </w:pPr>
          <w:hyperlink w:anchor="_Toc497215482" w:history="1">
            <w:r w:rsidR="002205A9" w:rsidRPr="00901095">
              <w:rPr>
                <w:rStyle w:val="Hyperlink"/>
                <w:noProof/>
              </w:rPr>
              <w:t>NOPTA’s Approach</w:t>
            </w:r>
            <w:r w:rsidR="002205A9">
              <w:rPr>
                <w:noProof/>
                <w:webHidden/>
              </w:rPr>
              <w:tab/>
            </w:r>
            <w:r w:rsidR="002205A9">
              <w:rPr>
                <w:noProof/>
                <w:webHidden/>
              </w:rPr>
              <w:fldChar w:fldCharType="begin"/>
            </w:r>
            <w:r w:rsidR="002205A9">
              <w:rPr>
                <w:noProof/>
                <w:webHidden/>
              </w:rPr>
              <w:instrText xml:space="preserve"> PAGEREF _Toc497215482 \h </w:instrText>
            </w:r>
            <w:r w:rsidR="002205A9">
              <w:rPr>
                <w:noProof/>
                <w:webHidden/>
              </w:rPr>
            </w:r>
            <w:r w:rsidR="002205A9">
              <w:rPr>
                <w:noProof/>
                <w:webHidden/>
              </w:rPr>
              <w:fldChar w:fldCharType="separate"/>
            </w:r>
            <w:r w:rsidR="00995A4D">
              <w:rPr>
                <w:noProof/>
                <w:webHidden/>
              </w:rPr>
              <w:t>7</w:t>
            </w:r>
            <w:r w:rsidR="002205A9">
              <w:rPr>
                <w:noProof/>
                <w:webHidden/>
              </w:rPr>
              <w:fldChar w:fldCharType="end"/>
            </w:r>
          </w:hyperlink>
        </w:p>
        <w:p w14:paraId="29FF48E8" w14:textId="77777777" w:rsidR="002205A9" w:rsidRDefault="003C52A9">
          <w:pPr>
            <w:pStyle w:val="TOC2"/>
            <w:tabs>
              <w:tab w:val="right" w:leader="dot" w:pos="9016"/>
            </w:tabs>
            <w:rPr>
              <w:rFonts w:eastAsiaTheme="minorEastAsia"/>
              <w:noProof/>
              <w:lang w:eastAsia="en-AU"/>
            </w:rPr>
          </w:pPr>
          <w:hyperlink w:anchor="_Toc497215483" w:history="1">
            <w:r w:rsidR="002205A9" w:rsidRPr="00901095">
              <w:rPr>
                <w:rStyle w:val="Hyperlink"/>
                <w:noProof/>
              </w:rPr>
              <w:t>Results</w:t>
            </w:r>
            <w:r w:rsidR="002205A9">
              <w:rPr>
                <w:noProof/>
                <w:webHidden/>
              </w:rPr>
              <w:tab/>
            </w:r>
            <w:r w:rsidR="002205A9">
              <w:rPr>
                <w:noProof/>
                <w:webHidden/>
              </w:rPr>
              <w:fldChar w:fldCharType="begin"/>
            </w:r>
            <w:r w:rsidR="002205A9">
              <w:rPr>
                <w:noProof/>
                <w:webHidden/>
              </w:rPr>
              <w:instrText xml:space="preserve"> PAGEREF _Toc497215483 \h </w:instrText>
            </w:r>
            <w:r w:rsidR="002205A9">
              <w:rPr>
                <w:noProof/>
                <w:webHidden/>
              </w:rPr>
            </w:r>
            <w:r w:rsidR="002205A9">
              <w:rPr>
                <w:noProof/>
                <w:webHidden/>
              </w:rPr>
              <w:fldChar w:fldCharType="separate"/>
            </w:r>
            <w:r w:rsidR="00995A4D">
              <w:rPr>
                <w:noProof/>
                <w:webHidden/>
              </w:rPr>
              <w:t>7</w:t>
            </w:r>
            <w:r w:rsidR="002205A9">
              <w:rPr>
                <w:noProof/>
                <w:webHidden/>
              </w:rPr>
              <w:fldChar w:fldCharType="end"/>
            </w:r>
          </w:hyperlink>
        </w:p>
        <w:p w14:paraId="419CA7ED" w14:textId="77777777" w:rsidR="002205A9" w:rsidRDefault="003C52A9">
          <w:pPr>
            <w:pStyle w:val="TOC2"/>
            <w:tabs>
              <w:tab w:val="right" w:leader="dot" w:pos="9016"/>
            </w:tabs>
            <w:rPr>
              <w:rFonts w:eastAsiaTheme="minorEastAsia"/>
              <w:noProof/>
              <w:lang w:eastAsia="en-AU"/>
            </w:rPr>
          </w:pPr>
          <w:hyperlink w:anchor="_Toc497215484" w:history="1">
            <w:r w:rsidR="002205A9" w:rsidRPr="00901095">
              <w:rPr>
                <w:rStyle w:val="Hyperlink"/>
                <w:b/>
                <w:noProof/>
              </w:rPr>
              <w:t>KPI 5: Regulators are open and transparent in their dealings with regulated entities</w:t>
            </w:r>
            <w:r w:rsidR="002205A9">
              <w:rPr>
                <w:noProof/>
                <w:webHidden/>
              </w:rPr>
              <w:tab/>
            </w:r>
            <w:r w:rsidR="002205A9">
              <w:rPr>
                <w:noProof/>
                <w:webHidden/>
              </w:rPr>
              <w:fldChar w:fldCharType="begin"/>
            </w:r>
            <w:r w:rsidR="002205A9">
              <w:rPr>
                <w:noProof/>
                <w:webHidden/>
              </w:rPr>
              <w:instrText xml:space="preserve"> PAGEREF _Toc497215484 \h </w:instrText>
            </w:r>
            <w:r w:rsidR="002205A9">
              <w:rPr>
                <w:noProof/>
                <w:webHidden/>
              </w:rPr>
            </w:r>
            <w:r w:rsidR="002205A9">
              <w:rPr>
                <w:noProof/>
                <w:webHidden/>
              </w:rPr>
              <w:fldChar w:fldCharType="separate"/>
            </w:r>
            <w:r w:rsidR="00995A4D">
              <w:rPr>
                <w:noProof/>
                <w:webHidden/>
              </w:rPr>
              <w:t>8</w:t>
            </w:r>
            <w:r w:rsidR="002205A9">
              <w:rPr>
                <w:noProof/>
                <w:webHidden/>
              </w:rPr>
              <w:fldChar w:fldCharType="end"/>
            </w:r>
          </w:hyperlink>
        </w:p>
        <w:p w14:paraId="31E2F90E" w14:textId="77777777" w:rsidR="002205A9" w:rsidRDefault="003C52A9">
          <w:pPr>
            <w:pStyle w:val="TOC2"/>
            <w:tabs>
              <w:tab w:val="right" w:leader="dot" w:pos="9016"/>
            </w:tabs>
            <w:rPr>
              <w:rFonts w:eastAsiaTheme="minorEastAsia"/>
              <w:noProof/>
              <w:lang w:eastAsia="en-AU"/>
            </w:rPr>
          </w:pPr>
          <w:hyperlink w:anchor="_Toc497215485" w:history="1">
            <w:r w:rsidR="002205A9" w:rsidRPr="00901095">
              <w:rPr>
                <w:rStyle w:val="Hyperlink"/>
                <w:noProof/>
              </w:rPr>
              <w:t>KPI Expectations</w:t>
            </w:r>
            <w:r w:rsidR="002205A9">
              <w:rPr>
                <w:noProof/>
                <w:webHidden/>
              </w:rPr>
              <w:tab/>
            </w:r>
            <w:r w:rsidR="002205A9">
              <w:rPr>
                <w:noProof/>
                <w:webHidden/>
              </w:rPr>
              <w:fldChar w:fldCharType="begin"/>
            </w:r>
            <w:r w:rsidR="002205A9">
              <w:rPr>
                <w:noProof/>
                <w:webHidden/>
              </w:rPr>
              <w:instrText xml:space="preserve"> PAGEREF _Toc497215485 \h </w:instrText>
            </w:r>
            <w:r w:rsidR="002205A9">
              <w:rPr>
                <w:noProof/>
                <w:webHidden/>
              </w:rPr>
            </w:r>
            <w:r w:rsidR="002205A9">
              <w:rPr>
                <w:noProof/>
                <w:webHidden/>
              </w:rPr>
              <w:fldChar w:fldCharType="separate"/>
            </w:r>
            <w:r w:rsidR="00995A4D">
              <w:rPr>
                <w:noProof/>
                <w:webHidden/>
              </w:rPr>
              <w:t>8</w:t>
            </w:r>
            <w:r w:rsidR="002205A9">
              <w:rPr>
                <w:noProof/>
                <w:webHidden/>
              </w:rPr>
              <w:fldChar w:fldCharType="end"/>
            </w:r>
          </w:hyperlink>
        </w:p>
        <w:p w14:paraId="6B794C46" w14:textId="77777777" w:rsidR="002205A9" w:rsidRDefault="003C52A9">
          <w:pPr>
            <w:pStyle w:val="TOC2"/>
            <w:tabs>
              <w:tab w:val="right" w:leader="dot" w:pos="9016"/>
            </w:tabs>
            <w:rPr>
              <w:rFonts w:eastAsiaTheme="minorEastAsia"/>
              <w:noProof/>
              <w:lang w:eastAsia="en-AU"/>
            </w:rPr>
          </w:pPr>
          <w:hyperlink w:anchor="_Toc497215486" w:history="1">
            <w:r w:rsidR="002205A9" w:rsidRPr="00901095">
              <w:rPr>
                <w:rStyle w:val="Hyperlink"/>
                <w:noProof/>
              </w:rPr>
              <w:t>NOPTA’s Approach</w:t>
            </w:r>
            <w:r w:rsidR="002205A9">
              <w:rPr>
                <w:noProof/>
                <w:webHidden/>
              </w:rPr>
              <w:tab/>
            </w:r>
            <w:r w:rsidR="002205A9">
              <w:rPr>
                <w:noProof/>
                <w:webHidden/>
              </w:rPr>
              <w:fldChar w:fldCharType="begin"/>
            </w:r>
            <w:r w:rsidR="002205A9">
              <w:rPr>
                <w:noProof/>
                <w:webHidden/>
              </w:rPr>
              <w:instrText xml:space="preserve"> PAGEREF _Toc497215486 \h </w:instrText>
            </w:r>
            <w:r w:rsidR="002205A9">
              <w:rPr>
                <w:noProof/>
                <w:webHidden/>
              </w:rPr>
            </w:r>
            <w:r w:rsidR="002205A9">
              <w:rPr>
                <w:noProof/>
                <w:webHidden/>
              </w:rPr>
              <w:fldChar w:fldCharType="separate"/>
            </w:r>
            <w:r w:rsidR="00995A4D">
              <w:rPr>
                <w:noProof/>
                <w:webHidden/>
              </w:rPr>
              <w:t>8</w:t>
            </w:r>
            <w:r w:rsidR="002205A9">
              <w:rPr>
                <w:noProof/>
                <w:webHidden/>
              </w:rPr>
              <w:fldChar w:fldCharType="end"/>
            </w:r>
          </w:hyperlink>
        </w:p>
        <w:p w14:paraId="2770107E" w14:textId="77777777" w:rsidR="002205A9" w:rsidRDefault="003C52A9">
          <w:pPr>
            <w:pStyle w:val="TOC2"/>
            <w:tabs>
              <w:tab w:val="right" w:leader="dot" w:pos="9016"/>
            </w:tabs>
            <w:rPr>
              <w:rFonts w:eastAsiaTheme="minorEastAsia"/>
              <w:noProof/>
              <w:lang w:eastAsia="en-AU"/>
            </w:rPr>
          </w:pPr>
          <w:hyperlink w:anchor="_Toc497215487" w:history="1">
            <w:r w:rsidR="002205A9" w:rsidRPr="00901095">
              <w:rPr>
                <w:rStyle w:val="Hyperlink"/>
                <w:noProof/>
              </w:rPr>
              <w:t>Results</w:t>
            </w:r>
            <w:r w:rsidR="002205A9">
              <w:rPr>
                <w:noProof/>
                <w:webHidden/>
              </w:rPr>
              <w:tab/>
            </w:r>
            <w:r w:rsidR="002205A9">
              <w:rPr>
                <w:noProof/>
                <w:webHidden/>
              </w:rPr>
              <w:fldChar w:fldCharType="begin"/>
            </w:r>
            <w:r w:rsidR="002205A9">
              <w:rPr>
                <w:noProof/>
                <w:webHidden/>
              </w:rPr>
              <w:instrText xml:space="preserve"> PAGEREF _Toc497215487 \h </w:instrText>
            </w:r>
            <w:r w:rsidR="002205A9">
              <w:rPr>
                <w:noProof/>
                <w:webHidden/>
              </w:rPr>
            </w:r>
            <w:r w:rsidR="002205A9">
              <w:rPr>
                <w:noProof/>
                <w:webHidden/>
              </w:rPr>
              <w:fldChar w:fldCharType="separate"/>
            </w:r>
            <w:r w:rsidR="00995A4D">
              <w:rPr>
                <w:noProof/>
                <w:webHidden/>
              </w:rPr>
              <w:t>8</w:t>
            </w:r>
            <w:r w:rsidR="002205A9">
              <w:rPr>
                <w:noProof/>
                <w:webHidden/>
              </w:rPr>
              <w:fldChar w:fldCharType="end"/>
            </w:r>
          </w:hyperlink>
        </w:p>
        <w:p w14:paraId="11357D61" w14:textId="77777777" w:rsidR="002205A9" w:rsidRDefault="003C52A9">
          <w:pPr>
            <w:pStyle w:val="TOC2"/>
            <w:tabs>
              <w:tab w:val="right" w:leader="dot" w:pos="9016"/>
            </w:tabs>
            <w:rPr>
              <w:rFonts w:eastAsiaTheme="minorEastAsia"/>
              <w:noProof/>
              <w:lang w:eastAsia="en-AU"/>
            </w:rPr>
          </w:pPr>
          <w:hyperlink w:anchor="_Toc497215488" w:history="1">
            <w:r w:rsidR="002205A9" w:rsidRPr="00901095">
              <w:rPr>
                <w:rStyle w:val="Hyperlink"/>
                <w:b/>
                <w:noProof/>
              </w:rPr>
              <w:t>KPI 6: Regulators actively contribute to the continuous improvement of regulatory frameworks</w:t>
            </w:r>
            <w:r w:rsidR="002205A9">
              <w:rPr>
                <w:noProof/>
                <w:webHidden/>
              </w:rPr>
              <w:tab/>
            </w:r>
            <w:r w:rsidR="002205A9">
              <w:rPr>
                <w:noProof/>
                <w:webHidden/>
              </w:rPr>
              <w:fldChar w:fldCharType="begin"/>
            </w:r>
            <w:r w:rsidR="002205A9">
              <w:rPr>
                <w:noProof/>
                <w:webHidden/>
              </w:rPr>
              <w:instrText xml:space="preserve"> PAGEREF _Toc497215488 \h </w:instrText>
            </w:r>
            <w:r w:rsidR="002205A9">
              <w:rPr>
                <w:noProof/>
                <w:webHidden/>
              </w:rPr>
            </w:r>
            <w:r w:rsidR="002205A9">
              <w:rPr>
                <w:noProof/>
                <w:webHidden/>
              </w:rPr>
              <w:fldChar w:fldCharType="separate"/>
            </w:r>
            <w:r w:rsidR="00995A4D">
              <w:rPr>
                <w:noProof/>
                <w:webHidden/>
              </w:rPr>
              <w:t>9</w:t>
            </w:r>
            <w:r w:rsidR="002205A9">
              <w:rPr>
                <w:noProof/>
                <w:webHidden/>
              </w:rPr>
              <w:fldChar w:fldCharType="end"/>
            </w:r>
          </w:hyperlink>
        </w:p>
        <w:p w14:paraId="4C17B047" w14:textId="77777777" w:rsidR="002205A9" w:rsidRDefault="003C52A9">
          <w:pPr>
            <w:pStyle w:val="TOC2"/>
            <w:tabs>
              <w:tab w:val="right" w:leader="dot" w:pos="9016"/>
            </w:tabs>
            <w:rPr>
              <w:rFonts w:eastAsiaTheme="minorEastAsia"/>
              <w:noProof/>
              <w:lang w:eastAsia="en-AU"/>
            </w:rPr>
          </w:pPr>
          <w:hyperlink w:anchor="_Toc497215489" w:history="1">
            <w:r w:rsidR="002205A9" w:rsidRPr="00901095">
              <w:rPr>
                <w:rStyle w:val="Hyperlink"/>
                <w:noProof/>
              </w:rPr>
              <w:t>KPI Expectations</w:t>
            </w:r>
            <w:r w:rsidR="002205A9">
              <w:rPr>
                <w:noProof/>
                <w:webHidden/>
              </w:rPr>
              <w:tab/>
            </w:r>
            <w:r w:rsidR="002205A9">
              <w:rPr>
                <w:noProof/>
                <w:webHidden/>
              </w:rPr>
              <w:fldChar w:fldCharType="begin"/>
            </w:r>
            <w:r w:rsidR="002205A9">
              <w:rPr>
                <w:noProof/>
                <w:webHidden/>
              </w:rPr>
              <w:instrText xml:space="preserve"> PAGEREF _Toc497215489 \h </w:instrText>
            </w:r>
            <w:r w:rsidR="002205A9">
              <w:rPr>
                <w:noProof/>
                <w:webHidden/>
              </w:rPr>
            </w:r>
            <w:r w:rsidR="002205A9">
              <w:rPr>
                <w:noProof/>
                <w:webHidden/>
              </w:rPr>
              <w:fldChar w:fldCharType="separate"/>
            </w:r>
            <w:r w:rsidR="00995A4D">
              <w:rPr>
                <w:noProof/>
                <w:webHidden/>
              </w:rPr>
              <w:t>9</w:t>
            </w:r>
            <w:r w:rsidR="002205A9">
              <w:rPr>
                <w:noProof/>
                <w:webHidden/>
              </w:rPr>
              <w:fldChar w:fldCharType="end"/>
            </w:r>
          </w:hyperlink>
        </w:p>
        <w:p w14:paraId="43D27CEB" w14:textId="77777777" w:rsidR="002205A9" w:rsidRDefault="003C52A9">
          <w:pPr>
            <w:pStyle w:val="TOC2"/>
            <w:tabs>
              <w:tab w:val="right" w:leader="dot" w:pos="9016"/>
            </w:tabs>
            <w:rPr>
              <w:rFonts w:eastAsiaTheme="minorEastAsia"/>
              <w:noProof/>
              <w:lang w:eastAsia="en-AU"/>
            </w:rPr>
          </w:pPr>
          <w:hyperlink w:anchor="_Toc497215490" w:history="1">
            <w:r w:rsidR="002205A9" w:rsidRPr="00901095">
              <w:rPr>
                <w:rStyle w:val="Hyperlink"/>
                <w:noProof/>
              </w:rPr>
              <w:t>NOPTA’s Approach</w:t>
            </w:r>
            <w:r w:rsidR="002205A9">
              <w:rPr>
                <w:noProof/>
                <w:webHidden/>
              </w:rPr>
              <w:tab/>
            </w:r>
            <w:r w:rsidR="002205A9">
              <w:rPr>
                <w:noProof/>
                <w:webHidden/>
              </w:rPr>
              <w:fldChar w:fldCharType="begin"/>
            </w:r>
            <w:r w:rsidR="002205A9">
              <w:rPr>
                <w:noProof/>
                <w:webHidden/>
              </w:rPr>
              <w:instrText xml:space="preserve"> PAGEREF _Toc497215490 \h </w:instrText>
            </w:r>
            <w:r w:rsidR="002205A9">
              <w:rPr>
                <w:noProof/>
                <w:webHidden/>
              </w:rPr>
            </w:r>
            <w:r w:rsidR="002205A9">
              <w:rPr>
                <w:noProof/>
                <w:webHidden/>
              </w:rPr>
              <w:fldChar w:fldCharType="separate"/>
            </w:r>
            <w:r w:rsidR="00995A4D">
              <w:rPr>
                <w:noProof/>
                <w:webHidden/>
              </w:rPr>
              <w:t>9</w:t>
            </w:r>
            <w:r w:rsidR="002205A9">
              <w:rPr>
                <w:noProof/>
                <w:webHidden/>
              </w:rPr>
              <w:fldChar w:fldCharType="end"/>
            </w:r>
          </w:hyperlink>
        </w:p>
        <w:p w14:paraId="7D0F1723" w14:textId="77777777" w:rsidR="002205A9" w:rsidRDefault="003C52A9">
          <w:pPr>
            <w:pStyle w:val="TOC2"/>
            <w:tabs>
              <w:tab w:val="right" w:leader="dot" w:pos="9016"/>
            </w:tabs>
            <w:rPr>
              <w:rFonts w:eastAsiaTheme="minorEastAsia"/>
              <w:noProof/>
              <w:lang w:eastAsia="en-AU"/>
            </w:rPr>
          </w:pPr>
          <w:hyperlink w:anchor="_Toc497215491" w:history="1">
            <w:r w:rsidR="002205A9" w:rsidRPr="00901095">
              <w:rPr>
                <w:rStyle w:val="Hyperlink"/>
                <w:noProof/>
              </w:rPr>
              <w:t>Results</w:t>
            </w:r>
            <w:r w:rsidR="002205A9">
              <w:rPr>
                <w:noProof/>
                <w:webHidden/>
              </w:rPr>
              <w:tab/>
            </w:r>
            <w:r w:rsidR="002205A9">
              <w:rPr>
                <w:noProof/>
                <w:webHidden/>
              </w:rPr>
              <w:fldChar w:fldCharType="begin"/>
            </w:r>
            <w:r w:rsidR="002205A9">
              <w:rPr>
                <w:noProof/>
                <w:webHidden/>
              </w:rPr>
              <w:instrText xml:space="preserve"> PAGEREF _Toc497215491 \h </w:instrText>
            </w:r>
            <w:r w:rsidR="002205A9">
              <w:rPr>
                <w:noProof/>
                <w:webHidden/>
              </w:rPr>
            </w:r>
            <w:r w:rsidR="002205A9">
              <w:rPr>
                <w:noProof/>
                <w:webHidden/>
              </w:rPr>
              <w:fldChar w:fldCharType="separate"/>
            </w:r>
            <w:r w:rsidR="00995A4D">
              <w:rPr>
                <w:noProof/>
                <w:webHidden/>
              </w:rPr>
              <w:t>9</w:t>
            </w:r>
            <w:r w:rsidR="002205A9">
              <w:rPr>
                <w:noProof/>
                <w:webHidden/>
              </w:rPr>
              <w:fldChar w:fldCharType="end"/>
            </w:r>
          </w:hyperlink>
        </w:p>
        <w:p w14:paraId="46F79CC4" w14:textId="77777777" w:rsidR="002205A9" w:rsidRDefault="003C52A9">
          <w:pPr>
            <w:pStyle w:val="TOC1"/>
            <w:rPr>
              <w:rFonts w:eastAsiaTheme="minorEastAsia"/>
              <w:noProof/>
              <w:lang w:eastAsia="en-AU"/>
            </w:rPr>
          </w:pPr>
          <w:hyperlink w:anchor="_Toc497215492" w:history="1">
            <w:r w:rsidR="002205A9" w:rsidRPr="00901095">
              <w:rPr>
                <w:rStyle w:val="Hyperlink"/>
                <w:b/>
                <w:noProof/>
              </w:rPr>
              <w:t>External Validation comments</w:t>
            </w:r>
            <w:r w:rsidR="002205A9">
              <w:rPr>
                <w:noProof/>
                <w:webHidden/>
              </w:rPr>
              <w:tab/>
            </w:r>
            <w:r w:rsidR="002205A9">
              <w:rPr>
                <w:noProof/>
                <w:webHidden/>
              </w:rPr>
              <w:fldChar w:fldCharType="begin"/>
            </w:r>
            <w:r w:rsidR="002205A9">
              <w:rPr>
                <w:noProof/>
                <w:webHidden/>
              </w:rPr>
              <w:instrText xml:space="preserve"> PAGEREF _Toc497215492 \h </w:instrText>
            </w:r>
            <w:r w:rsidR="002205A9">
              <w:rPr>
                <w:noProof/>
                <w:webHidden/>
              </w:rPr>
            </w:r>
            <w:r w:rsidR="002205A9">
              <w:rPr>
                <w:noProof/>
                <w:webHidden/>
              </w:rPr>
              <w:fldChar w:fldCharType="separate"/>
            </w:r>
            <w:r w:rsidR="00995A4D">
              <w:rPr>
                <w:noProof/>
                <w:webHidden/>
              </w:rPr>
              <w:t>10</w:t>
            </w:r>
            <w:r w:rsidR="002205A9">
              <w:rPr>
                <w:noProof/>
                <w:webHidden/>
              </w:rPr>
              <w:fldChar w:fldCharType="end"/>
            </w:r>
          </w:hyperlink>
        </w:p>
        <w:p w14:paraId="2445D935" w14:textId="77777777" w:rsidR="002205A9" w:rsidRDefault="003C52A9">
          <w:pPr>
            <w:pStyle w:val="TOC1"/>
            <w:rPr>
              <w:rFonts w:eastAsiaTheme="minorEastAsia"/>
              <w:noProof/>
              <w:lang w:eastAsia="en-AU"/>
            </w:rPr>
          </w:pPr>
          <w:hyperlink w:anchor="_Toc497215493" w:history="1">
            <w:r w:rsidR="002205A9" w:rsidRPr="00901095">
              <w:rPr>
                <w:rStyle w:val="Hyperlink"/>
                <w:b/>
                <w:noProof/>
              </w:rPr>
              <w:t>2017-18 and beyond</w:t>
            </w:r>
            <w:r w:rsidR="002205A9">
              <w:rPr>
                <w:noProof/>
                <w:webHidden/>
              </w:rPr>
              <w:tab/>
            </w:r>
            <w:r w:rsidR="002205A9">
              <w:rPr>
                <w:noProof/>
                <w:webHidden/>
              </w:rPr>
              <w:fldChar w:fldCharType="begin"/>
            </w:r>
            <w:r w:rsidR="002205A9">
              <w:rPr>
                <w:noProof/>
                <w:webHidden/>
              </w:rPr>
              <w:instrText xml:space="preserve"> PAGEREF _Toc497215493 \h </w:instrText>
            </w:r>
            <w:r w:rsidR="002205A9">
              <w:rPr>
                <w:noProof/>
                <w:webHidden/>
              </w:rPr>
            </w:r>
            <w:r w:rsidR="002205A9">
              <w:rPr>
                <w:noProof/>
                <w:webHidden/>
              </w:rPr>
              <w:fldChar w:fldCharType="separate"/>
            </w:r>
            <w:r w:rsidR="00995A4D">
              <w:rPr>
                <w:noProof/>
                <w:webHidden/>
              </w:rPr>
              <w:t>10</w:t>
            </w:r>
            <w:r w:rsidR="002205A9">
              <w:rPr>
                <w:noProof/>
                <w:webHidden/>
              </w:rPr>
              <w:fldChar w:fldCharType="end"/>
            </w:r>
          </w:hyperlink>
        </w:p>
        <w:p w14:paraId="02EC8C7C" w14:textId="77777777" w:rsidR="00351ECA" w:rsidRDefault="00351ECA" w:rsidP="00351ECA">
          <w:pPr>
            <w:spacing w:line="240" w:lineRule="auto"/>
          </w:pPr>
          <w:r>
            <w:rPr>
              <w:b/>
              <w:bCs/>
              <w:noProof/>
            </w:rPr>
            <w:fldChar w:fldCharType="end"/>
          </w:r>
        </w:p>
      </w:sdtContent>
    </w:sdt>
    <w:p w14:paraId="47D628F1" w14:textId="77777777" w:rsidR="00351ECA" w:rsidRDefault="00351ECA" w:rsidP="00351ECA">
      <w:pPr>
        <w:spacing w:line="240" w:lineRule="auto"/>
        <w:rPr>
          <w:rFonts w:asciiTheme="majorHAnsi" w:eastAsiaTheme="majorEastAsia" w:hAnsiTheme="majorHAnsi" w:cstheme="majorBidi"/>
          <w:b/>
          <w:color w:val="2E74B5" w:themeColor="accent1" w:themeShade="BF"/>
          <w:sz w:val="32"/>
          <w:szCs w:val="32"/>
        </w:rPr>
      </w:pPr>
      <w:r>
        <w:rPr>
          <w:b/>
        </w:rPr>
        <w:br w:type="page"/>
      </w:r>
    </w:p>
    <w:p w14:paraId="7DED92B8" w14:textId="77777777" w:rsidR="00351ECA" w:rsidRDefault="00351ECA" w:rsidP="00351ECA">
      <w:pPr>
        <w:pStyle w:val="Heading1"/>
        <w:spacing w:line="240" w:lineRule="auto"/>
        <w:rPr>
          <w:b/>
        </w:rPr>
      </w:pPr>
      <w:bookmarkStart w:id="7" w:name="_Toc497215465"/>
      <w:bookmarkStart w:id="8" w:name="_Toc453069550"/>
      <w:r>
        <w:rPr>
          <w:b/>
        </w:rPr>
        <w:lastRenderedPageBreak/>
        <w:t>NOPTA - overview</w:t>
      </w:r>
      <w:bookmarkEnd w:id="7"/>
    </w:p>
    <w:p w14:paraId="325F968E" w14:textId="1D0609B0" w:rsidR="00351ECA" w:rsidRDefault="00351ECA" w:rsidP="00351ECA">
      <w:pPr>
        <w:spacing w:line="240" w:lineRule="auto"/>
        <w:rPr>
          <w:rFonts w:cs="Arial"/>
        </w:rPr>
      </w:pPr>
      <w:r>
        <w:rPr>
          <w:rFonts w:cs="Arial"/>
        </w:rPr>
        <w:t xml:space="preserve">This is </w:t>
      </w:r>
      <w:r w:rsidRPr="00285375">
        <w:rPr>
          <w:rFonts w:cs="Arial"/>
        </w:rPr>
        <w:t>NOPTA</w:t>
      </w:r>
      <w:r>
        <w:rPr>
          <w:rFonts w:cs="Arial"/>
        </w:rPr>
        <w:t xml:space="preserve">’s second </w:t>
      </w:r>
      <w:r w:rsidRPr="00285375">
        <w:rPr>
          <w:rFonts w:cs="Arial"/>
        </w:rPr>
        <w:t>self-assess</w:t>
      </w:r>
      <w:r>
        <w:rPr>
          <w:rFonts w:cs="Arial"/>
        </w:rPr>
        <w:t>ment against the Regulator Performance Framework (RPF).</w:t>
      </w:r>
      <w:r w:rsidR="003A4AAB">
        <w:rPr>
          <w:rFonts w:cs="Arial"/>
        </w:rPr>
        <w:t xml:space="preserve"> </w:t>
      </w:r>
      <w:r w:rsidR="001810C4">
        <w:rPr>
          <w:rFonts w:cs="Arial"/>
        </w:rPr>
        <w:t xml:space="preserve"> </w:t>
      </w:r>
      <w:r w:rsidR="003A4AAB">
        <w:rPr>
          <w:rFonts w:cs="Arial"/>
        </w:rPr>
        <w:t xml:space="preserve">The first self-assessment, which provides further background on NOPTA and the RPF, </w:t>
      </w:r>
      <w:r w:rsidR="00817298">
        <w:rPr>
          <w:rFonts w:cs="Arial"/>
        </w:rPr>
        <w:t>is</w:t>
      </w:r>
      <w:r w:rsidR="003A4AAB">
        <w:rPr>
          <w:rFonts w:cs="Arial"/>
        </w:rPr>
        <w:t xml:space="preserve"> at</w:t>
      </w:r>
      <w:r w:rsidR="002755D3">
        <w:rPr>
          <w:rFonts w:cs="Arial"/>
        </w:rPr>
        <w:t xml:space="preserve"> </w:t>
      </w:r>
      <w:hyperlink r:id="rId14" w:tooltip="NOPTA website: Regulator Performance Framework" w:history="1">
        <w:r w:rsidR="009A6428" w:rsidRPr="00C04B05">
          <w:rPr>
            <w:rStyle w:val="Hyperlink"/>
            <w:rFonts w:cs="Arial"/>
          </w:rPr>
          <w:t>http://www.nopta.gov.au/media/self-assessment/index.html</w:t>
        </w:r>
      </w:hyperlink>
      <w:r w:rsidR="002755D3">
        <w:rPr>
          <w:rFonts w:cs="Arial"/>
        </w:rPr>
        <w:t>.</w:t>
      </w:r>
      <w:r w:rsidR="003A4AAB">
        <w:rPr>
          <w:rFonts w:cs="Arial"/>
        </w:rPr>
        <w:t xml:space="preserve"> </w:t>
      </w:r>
    </w:p>
    <w:p w14:paraId="181F892D" w14:textId="3556B9A6" w:rsidR="00351ECA" w:rsidRPr="00852951" w:rsidRDefault="00817298" w:rsidP="00351ECA">
      <w:pPr>
        <w:spacing w:after="120" w:line="240" w:lineRule="auto"/>
        <w:rPr>
          <w:rFonts w:ascii="Calibri" w:hAnsi="Calibri"/>
        </w:rPr>
      </w:pPr>
      <w:r>
        <w:rPr>
          <w:rFonts w:ascii="Calibri" w:hAnsi="Calibri"/>
        </w:rPr>
        <w:t xml:space="preserve">NOPTA has reviewed other regulator 2015-16 RPF self-assessments in structuring </w:t>
      </w:r>
      <w:r w:rsidR="00351ECA">
        <w:rPr>
          <w:rFonts w:ascii="Calibri" w:hAnsi="Calibri"/>
        </w:rPr>
        <w:t xml:space="preserve">this 2016-17 self-assessment.  As a result, </w:t>
      </w:r>
      <w:r w:rsidR="00EE4636">
        <w:rPr>
          <w:rFonts w:ascii="Calibri" w:hAnsi="Calibri"/>
        </w:rPr>
        <w:t xml:space="preserve">we have </w:t>
      </w:r>
      <w:r w:rsidR="00351ECA">
        <w:rPr>
          <w:rFonts w:ascii="Calibri" w:hAnsi="Calibri"/>
        </w:rPr>
        <w:t xml:space="preserve">developed a more concise self-assessment with clear outcomes against each </w:t>
      </w:r>
      <w:r w:rsidR="00672577">
        <w:rPr>
          <w:rFonts w:ascii="Calibri" w:hAnsi="Calibri"/>
        </w:rPr>
        <w:t xml:space="preserve">RPF </w:t>
      </w:r>
      <w:r w:rsidR="00351ECA">
        <w:rPr>
          <w:rFonts w:ascii="Calibri" w:hAnsi="Calibri"/>
        </w:rPr>
        <w:t>K</w:t>
      </w:r>
      <w:r w:rsidR="00B17BB8">
        <w:rPr>
          <w:rFonts w:ascii="Calibri" w:hAnsi="Calibri"/>
        </w:rPr>
        <w:t xml:space="preserve">ey </w:t>
      </w:r>
      <w:r w:rsidR="00351ECA">
        <w:rPr>
          <w:rFonts w:ascii="Calibri" w:hAnsi="Calibri"/>
        </w:rPr>
        <w:t>P</w:t>
      </w:r>
      <w:r w:rsidR="00B17BB8">
        <w:rPr>
          <w:rFonts w:ascii="Calibri" w:hAnsi="Calibri"/>
        </w:rPr>
        <w:t xml:space="preserve">erformance </w:t>
      </w:r>
      <w:r w:rsidR="00351ECA">
        <w:rPr>
          <w:rFonts w:ascii="Calibri" w:hAnsi="Calibri"/>
        </w:rPr>
        <w:t>I</w:t>
      </w:r>
      <w:r w:rsidR="00B17BB8">
        <w:rPr>
          <w:rFonts w:ascii="Calibri" w:hAnsi="Calibri"/>
        </w:rPr>
        <w:t>ndictor (KPI)</w:t>
      </w:r>
      <w:r w:rsidR="00351ECA">
        <w:rPr>
          <w:rFonts w:ascii="Calibri" w:hAnsi="Calibri"/>
        </w:rPr>
        <w:t xml:space="preserve">.  </w:t>
      </w:r>
    </w:p>
    <w:p w14:paraId="0CDE30AF" w14:textId="7377DBD9" w:rsidR="00351ECA" w:rsidRDefault="00EE4636" w:rsidP="00351ECA">
      <w:pPr>
        <w:spacing w:line="240" w:lineRule="auto"/>
      </w:pPr>
      <w:r>
        <w:rPr>
          <w:rFonts w:cs="Arial"/>
        </w:rPr>
        <w:t xml:space="preserve">NOPTA </w:t>
      </w:r>
      <w:r w:rsidR="00351ECA">
        <w:rPr>
          <w:rFonts w:cs="Arial"/>
        </w:rPr>
        <w:t xml:space="preserve">self-assesses </w:t>
      </w:r>
      <w:r w:rsidR="00351ECA" w:rsidRPr="00285375">
        <w:rPr>
          <w:rFonts w:cs="Arial"/>
        </w:rPr>
        <w:t xml:space="preserve">that </w:t>
      </w:r>
      <w:r>
        <w:rPr>
          <w:rFonts w:cs="Arial"/>
        </w:rPr>
        <w:t>we</w:t>
      </w:r>
      <w:r w:rsidRPr="00285375">
        <w:rPr>
          <w:rFonts w:cs="Arial"/>
        </w:rPr>
        <w:t xml:space="preserve"> </w:t>
      </w:r>
      <w:r w:rsidR="00351ECA" w:rsidRPr="00285375">
        <w:rPr>
          <w:rFonts w:cs="Arial"/>
        </w:rPr>
        <w:t>ha</w:t>
      </w:r>
      <w:r>
        <w:rPr>
          <w:rFonts w:cs="Arial"/>
        </w:rPr>
        <w:t>ve</w:t>
      </w:r>
      <w:r w:rsidR="00351ECA" w:rsidRPr="00285375">
        <w:rPr>
          <w:rFonts w:cs="Arial"/>
        </w:rPr>
        <w:t xml:space="preserve"> implemented the RPF and met its </w:t>
      </w:r>
      <w:r w:rsidR="00351ECA">
        <w:rPr>
          <w:rFonts w:cs="Arial"/>
        </w:rPr>
        <w:t xml:space="preserve">KPIs </w:t>
      </w:r>
      <w:r w:rsidR="00351ECA" w:rsidRPr="00285375">
        <w:rPr>
          <w:rFonts w:cs="Arial"/>
        </w:rPr>
        <w:t>effectively</w:t>
      </w:r>
      <w:r w:rsidR="00351ECA">
        <w:rPr>
          <w:rFonts w:cs="Arial"/>
        </w:rPr>
        <w:t xml:space="preserve"> – </w:t>
      </w:r>
      <w:r w:rsidR="00817298">
        <w:rPr>
          <w:rFonts w:cs="Arial"/>
        </w:rPr>
        <w:t>however,</w:t>
      </w:r>
      <w:r w:rsidR="00351ECA">
        <w:rPr>
          <w:rFonts w:cs="Arial"/>
        </w:rPr>
        <w:t xml:space="preserve"> </w:t>
      </w:r>
      <w:r>
        <w:rPr>
          <w:rFonts w:cs="Arial"/>
        </w:rPr>
        <w:t>we</w:t>
      </w:r>
      <w:r w:rsidRPr="00285375">
        <w:rPr>
          <w:rFonts w:cs="Arial"/>
        </w:rPr>
        <w:t xml:space="preserve"> </w:t>
      </w:r>
      <w:r w:rsidR="00351ECA">
        <w:rPr>
          <w:rFonts w:cs="Arial"/>
        </w:rPr>
        <w:t xml:space="preserve">strive to </w:t>
      </w:r>
      <w:r w:rsidR="00A74B02" w:rsidRPr="00CA0EA9">
        <w:rPr>
          <w:rFonts w:cs="Arial"/>
        </w:rPr>
        <w:t>improve</w:t>
      </w:r>
      <w:r w:rsidR="00A74B02">
        <w:rPr>
          <w:rFonts w:cs="Arial"/>
        </w:rPr>
        <w:t xml:space="preserve"> </w:t>
      </w:r>
      <w:r w:rsidR="00351ECA">
        <w:rPr>
          <w:rFonts w:cs="Arial"/>
        </w:rPr>
        <w:t>continuously</w:t>
      </w:r>
      <w:r w:rsidR="00351ECA" w:rsidRPr="00CA0EA9">
        <w:rPr>
          <w:rFonts w:cs="Arial"/>
        </w:rPr>
        <w:t xml:space="preserve">.  </w:t>
      </w:r>
      <w:r w:rsidR="002755D3" w:rsidRPr="001E331D">
        <w:t>The</w:t>
      </w:r>
      <w:r w:rsidR="00351ECA" w:rsidRPr="00C2002B">
        <w:t xml:space="preserve"> RPF KPIs</w:t>
      </w:r>
      <w:r w:rsidR="002755D3" w:rsidRPr="00C2002B">
        <w:t xml:space="preserve"> </w:t>
      </w:r>
      <w:r w:rsidR="00A74B02">
        <w:t>are</w:t>
      </w:r>
      <w:r w:rsidR="002755D3" w:rsidRPr="00C2002B">
        <w:t xml:space="preserve"> </w:t>
      </w:r>
      <w:r w:rsidR="00A74B02">
        <w:t>in</w:t>
      </w:r>
      <w:r w:rsidR="00351ECA" w:rsidRPr="00C2002B">
        <w:t xml:space="preserve"> our new 2017-</w:t>
      </w:r>
      <w:r w:rsidR="00C84B81">
        <w:t>20</w:t>
      </w:r>
      <w:r w:rsidR="00C84B81" w:rsidRPr="00C2002B">
        <w:t xml:space="preserve"> </w:t>
      </w:r>
      <w:r w:rsidR="00351ECA" w:rsidRPr="00C2002B">
        <w:t>Corporate Plan</w:t>
      </w:r>
      <w:r w:rsidR="001E331D">
        <w:t>.</w:t>
      </w:r>
    </w:p>
    <w:p w14:paraId="32A67482" w14:textId="7E945ECE" w:rsidR="00351ECA" w:rsidRDefault="007A2C1C" w:rsidP="00F3086B">
      <w:pPr>
        <w:spacing w:after="120" w:line="240" w:lineRule="auto"/>
      </w:pPr>
      <w:r>
        <w:t xml:space="preserve">Consistent with </w:t>
      </w:r>
      <w:r w:rsidR="002755D3">
        <w:t xml:space="preserve">previous years, </w:t>
      </w:r>
      <w:r w:rsidR="00351ECA">
        <w:t xml:space="preserve">NOPTA engaged KPMG to undertake </w:t>
      </w:r>
      <w:r>
        <w:t xml:space="preserve">a </w:t>
      </w:r>
      <w:r w:rsidRPr="0008769C">
        <w:t>stakeholder survey</w:t>
      </w:r>
      <w:r>
        <w:t xml:space="preserve"> in</w:t>
      </w:r>
      <w:r w:rsidRPr="0008769C">
        <w:t xml:space="preserve"> </w:t>
      </w:r>
      <w:r w:rsidR="00351ECA" w:rsidRPr="0008769C">
        <w:t>201</w:t>
      </w:r>
      <w:r w:rsidR="00351ECA">
        <w:t>7.</w:t>
      </w:r>
      <w:r w:rsidR="00351ECA">
        <w:rPr>
          <w:rStyle w:val="FootnoteReference"/>
        </w:rPr>
        <w:footnoteReference w:id="1"/>
      </w:r>
      <w:r w:rsidR="00351ECA" w:rsidRPr="0008769C">
        <w:t xml:space="preserve"> </w:t>
      </w:r>
      <w:r w:rsidR="00351ECA">
        <w:t xml:space="preserve"> The stakeholder survey</w:t>
      </w:r>
      <w:r w:rsidR="00A74B02">
        <w:t xml:space="preserve"> provided</w:t>
      </w:r>
      <w:r w:rsidR="00351ECA" w:rsidRPr="0008769C">
        <w:t xml:space="preserve"> </w:t>
      </w:r>
      <w:r w:rsidR="00351ECA">
        <w:t xml:space="preserve">quantitative performance metrics and qualitative insights </w:t>
      </w:r>
      <w:r w:rsidR="00351ECA" w:rsidRPr="0008769C">
        <w:t>against the</w:t>
      </w:r>
      <w:r w:rsidR="00351ECA">
        <w:t xml:space="preserve"> RPF</w:t>
      </w:r>
      <w:r w:rsidR="00351ECA" w:rsidRPr="0008769C">
        <w:t xml:space="preserve"> KPIs. </w:t>
      </w:r>
      <w:r w:rsidR="00351ECA">
        <w:t xml:space="preserve"> It compared </w:t>
      </w:r>
      <w:r w:rsidR="00EE4636">
        <w:t xml:space="preserve">our </w:t>
      </w:r>
      <w:r w:rsidR="00351ECA">
        <w:t xml:space="preserve">performance, in the opinion of survey respondents, against the results of the 2016 survey for timeliness, quality of communication, accessibility and responsiveness.  The survey also identified areas for future improvement or action.  Survey results are </w:t>
      </w:r>
      <w:r w:rsidR="00817298">
        <w:t xml:space="preserve">included </w:t>
      </w:r>
      <w:r w:rsidR="00351ECA">
        <w:t>against relevant RPF KPIs.</w:t>
      </w:r>
      <w:r w:rsidR="00FF5F52">
        <w:t xml:space="preserve">  Survey respondents </w:t>
      </w:r>
      <w:r w:rsidR="008818CF">
        <w:t>include</w:t>
      </w:r>
      <w:r w:rsidR="00817298">
        <w:t>d</w:t>
      </w:r>
      <w:r w:rsidR="008818CF">
        <w:t xml:space="preserve"> titleholders, industry groups and government stakeholders. </w:t>
      </w:r>
    </w:p>
    <w:p w14:paraId="36D07518" w14:textId="0C8B1E6B" w:rsidR="00351ECA" w:rsidRDefault="00351ECA" w:rsidP="001930DF">
      <w:pPr>
        <w:spacing w:after="120" w:line="240" w:lineRule="auto"/>
        <w:rPr>
          <w:rFonts w:cs="Arial"/>
        </w:rPr>
      </w:pPr>
      <w:r>
        <w:rPr>
          <w:rFonts w:cs="Arial"/>
        </w:rPr>
        <w:t>Achievements against the</w:t>
      </w:r>
      <w:r w:rsidR="00672577">
        <w:rPr>
          <w:rFonts w:cs="Arial"/>
        </w:rPr>
        <w:t xml:space="preserve"> RPF</w:t>
      </w:r>
      <w:r>
        <w:rPr>
          <w:rFonts w:cs="Arial"/>
        </w:rPr>
        <w:t xml:space="preserve"> KPIs for 2016-17 include:</w:t>
      </w:r>
    </w:p>
    <w:p w14:paraId="7628F9B3" w14:textId="0EF4C70D" w:rsidR="00351ECA" w:rsidRDefault="00351ECA" w:rsidP="00351ECA">
      <w:pPr>
        <w:pStyle w:val="ListParagraph"/>
        <w:numPr>
          <w:ilvl w:val="0"/>
          <w:numId w:val="7"/>
        </w:numPr>
        <w:spacing w:after="6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All respondents to the 2017 stakeholder survey </w:t>
      </w:r>
      <w:r w:rsidR="00EE4636">
        <w:rPr>
          <w:rFonts w:asciiTheme="minorHAnsi" w:hAnsiTheme="minorHAnsi"/>
          <w:color w:val="auto"/>
          <w:sz w:val="22"/>
          <w:szCs w:val="22"/>
        </w:rPr>
        <w:t xml:space="preserve">(survey) agreed </w:t>
      </w:r>
      <w:r>
        <w:rPr>
          <w:rFonts w:asciiTheme="minorHAnsi" w:hAnsiTheme="minorHAnsi"/>
          <w:color w:val="auto"/>
          <w:sz w:val="22"/>
          <w:szCs w:val="22"/>
        </w:rPr>
        <w:t xml:space="preserve">that NOPTA makes a valuable contribution to managing Australia’s </w:t>
      </w:r>
      <w:r w:rsidR="00A74B02">
        <w:rPr>
          <w:rFonts w:asciiTheme="minorHAnsi" w:hAnsiTheme="minorHAnsi"/>
          <w:color w:val="auto"/>
          <w:sz w:val="22"/>
          <w:szCs w:val="22"/>
        </w:rPr>
        <w:t xml:space="preserve">offshore petroleum </w:t>
      </w:r>
      <w:r>
        <w:rPr>
          <w:rFonts w:asciiTheme="minorHAnsi" w:hAnsiTheme="minorHAnsi"/>
          <w:color w:val="auto"/>
          <w:sz w:val="22"/>
          <w:szCs w:val="22"/>
        </w:rPr>
        <w:t>resources (KPI 1).</w:t>
      </w:r>
    </w:p>
    <w:p w14:paraId="1D003C05" w14:textId="77777777" w:rsidR="00351ECA" w:rsidRPr="004638A9" w:rsidRDefault="00351ECA" w:rsidP="00351ECA">
      <w:pPr>
        <w:pStyle w:val="ListParagraph"/>
        <w:numPr>
          <w:ilvl w:val="0"/>
          <w:numId w:val="7"/>
        </w:numPr>
        <w:spacing w:after="6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Identified high-level requirements for the next development phase for the National Electronic Application Tracking System (NEATS) – termed </w:t>
      </w:r>
      <w:r w:rsidRPr="00EF74BC">
        <w:rPr>
          <w:rFonts w:asciiTheme="minorHAnsi" w:hAnsiTheme="minorHAnsi"/>
          <w:i/>
          <w:color w:val="auto"/>
          <w:sz w:val="22"/>
          <w:szCs w:val="22"/>
        </w:rPr>
        <w:t>NEATS 2020</w:t>
      </w:r>
      <w:r>
        <w:rPr>
          <w:rFonts w:asciiTheme="minorHAnsi" w:hAnsiTheme="minorHAnsi"/>
          <w:color w:val="auto"/>
          <w:sz w:val="22"/>
          <w:szCs w:val="22"/>
        </w:rPr>
        <w:t xml:space="preserve"> (KPI 2).</w:t>
      </w:r>
      <w:r w:rsidRPr="004638A9">
        <w:rPr>
          <w:rFonts w:asciiTheme="minorHAnsi" w:hAnsiTheme="minorHAnsi"/>
          <w:color w:val="auto"/>
          <w:sz w:val="22"/>
          <w:szCs w:val="22"/>
        </w:rPr>
        <w:t xml:space="preserve">  </w:t>
      </w:r>
    </w:p>
    <w:p w14:paraId="2D0B4630" w14:textId="3310F73B" w:rsidR="00351ECA" w:rsidRPr="007F38C5" w:rsidRDefault="00351ECA" w:rsidP="00351ECA">
      <w:pPr>
        <w:pStyle w:val="ListParagraph"/>
        <w:numPr>
          <w:ilvl w:val="0"/>
          <w:numId w:val="7"/>
        </w:numPr>
        <w:spacing w:after="6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Implemented an internal NOPTA risk plan to complement the </w:t>
      </w:r>
      <w:r w:rsidR="00A74B02">
        <w:rPr>
          <w:rFonts w:asciiTheme="minorHAnsi" w:hAnsiTheme="minorHAnsi"/>
          <w:color w:val="auto"/>
          <w:sz w:val="22"/>
          <w:szCs w:val="22"/>
        </w:rPr>
        <w:t xml:space="preserve">Department of Industry, Innovation and Science (department) and its </w:t>
      </w:r>
      <w:r>
        <w:rPr>
          <w:rFonts w:asciiTheme="minorHAnsi" w:hAnsiTheme="minorHAnsi"/>
          <w:color w:val="auto"/>
          <w:sz w:val="22"/>
          <w:szCs w:val="22"/>
        </w:rPr>
        <w:t>Resources Division risks plans (KPI 3)</w:t>
      </w:r>
      <w:r w:rsidRPr="007F38C5">
        <w:rPr>
          <w:rFonts w:asciiTheme="minorHAnsi" w:hAnsiTheme="minorHAnsi"/>
          <w:color w:val="auto"/>
          <w:sz w:val="22"/>
          <w:szCs w:val="22"/>
        </w:rPr>
        <w:t xml:space="preserve">. </w:t>
      </w:r>
    </w:p>
    <w:p w14:paraId="24906606" w14:textId="77777777" w:rsidR="00351ECA" w:rsidRDefault="00351ECA" w:rsidP="00351ECA">
      <w:pPr>
        <w:pStyle w:val="ListParagraph"/>
        <w:numPr>
          <w:ilvl w:val="0"/>
          <w:numId w:val="7"/>
        </w:numPr>
        <w:spacing w:after="60"/>
        <w:ind w:left="714" w:hanging="357"/>
        <w:contextualSpacing w:val="0"/>
        <w:rPr>
          <w:rFonts w:asciiTheme="minorHAnsi" w:hAnsiTheme="minorHAnsi"/>
          <w:color w:val="auto"/>
          <w:sz w:val="22"/>
          <w:szCs w:val="22"/>
        </w:rPr>
      </w:pPr>
      <w:r>
        <w:rPr>
          <w:rFonts w:asciiTheme="minorHAnsi" w:hAnsiTheme="minorHAnsi"/>
          <w:color w:val="auto"/>
          <w:sz w:val="22"/>
          <w:szCs w:val="22"/>
        </w:rPr>
        <w:t>Implemented a database to monitor conditions or expectations placed on titleholders by the Joint Authorities (KPI 4).</w:t>
      </w:r>
    </w:p>
    <w:p w14:paraId="52A6ABB3" w14:textId="415C6885" w:rsidR="00351ECA" w:rsidRDefault="00351ECA" w:rsidP="00351ECA">
      <w:pPr>
        <w:pStyle w:val="ListParagraph"/>
        <w:numPr>
          <w:ilvl w:val="0"/>
          <w:numId w:val="7"/>
        </w:numPr>
        <w:spacing w:after="6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All </w:t>
      </w:r>
      <w:r w:rsidR="00EE4636">
        <w:rPr>
          <w:rFonts w:asciiTheme="minorHAnsi" w:hAnsiTheme="minorHAnsi"/>
          <w:color w:val="auto"/>
          <w:sz w:val="22"/>
          <w:szCs w:val="22"/>
        </w:rPr>
        <w:t xml:space="preserve">survey </w:t>
      </w:r>
      <w:r>
        <w:rPr>
          <w:rFonts w:asciiTheme="minorHAnsi" w:hAnsiTheme="minorHAnsi"/>
          <w:color w:val="auto"/>
          <w:sz w:val="22"/>
          <w:szCs w:val="22"/>
        </w:rPr>
        <w:t xml:space="preserve">respondents </w:t>
      </w:r>
      <w:r w:rsidR="00EE4636">
        <w:rPr>
          <w:rFonts w:asciiTheme="minorHAnsi" w:hAnsiTheme="minorHAnsi"/>
          <w:color w:val="auto"/>
          <w:sz w:val="22"/>
          <w:szCs w:val="22"/>
        </w:rPr>
        <w:t>agreed</w:t>
      </w:r>
      <w:r>
        <w:rPr>
          <w:rFonts w:asciiTheme="minorHAnsi" w:hAnsiTheme="minorHAnsi"/>
          <w:color w:val="auto"/>
          <w:sz w:val="22"/>
          <w:szCs w:val="22"/>
        </w:rPr>
        <w:t xml:space="preserve"> that </w:t>
      </w:r>
      <w:r w:rsidR="00EE4636">
        <w:rPr>
          <w:rFonts w:asciiTheme="minorHAnsi" w:hAnsiTheme="minorHAnsi"/>
          <w:color w:val="auto"/>
          <w:sz w:val="22"/>
          <w:szCs w:val="22"/>
        </w:rPr>
        <w:t xml:space="preserve">we are </w:t>
      </w:r>
      <w:r>
        <w:rPr>
          <w:rFonts w:asciiTheme="minorHAnsi" w:hAnsiTheme="minorHAnsi"/>
          <w:color w:val="auto"/>
          <w:sz w:val="22"/>
          <w:szCs w:val="22"/>
        </w:rPr>
        <w:t xml:space="preserve">open and transparent in </w:t>
      </w:r>
      <w:r w:rsidR="00EE4636">
        <w:rPr>
          <w:rFonts w:asciiTheme="minorHAnsi" w:hAnsiTheme="minorHAnsi"/>
          <w:color w:val="auto"/>
          <w:sz w:val="22"/>
          <w:szCs w:val="22"/>
        </w:rPr>
        <w:t xml:space="preserve">our </w:t>
      </w:r>
      <w:r>
        <w:rPr>
          <w:rFonts w:asciiTheme="minorHAnsi" w:hAnsiTheme="minorHAnsi"/>
          <w:color w:val="auto"/>
          <w:sz w:val="22"/>
          <w:szCs w:val="22"/>
        </w:rPr>
        <w:t xml:space="preserve">dealings, publicly accountable in publishing performance results, collaborative in </w:t>
      </w:r>
      <w:r w:rsidR="00EE4636">
        <w:rPr>
          <w:rFonts w:asciiTheme="minorHAnsi" w:hAnsiTheme="minorHAnsi"/>
          <w:color w:val="auto"/>
          <w:sz w:val="22"/>
          <w:szCs w:val="22"/>
        </w:rPr>
        <w:t xml:space="preserve">our </w:t>
      </w:r>
      <w:r>
        <w:rPr>
          <w:rFonts w:asciiTheme="minorHAnsi" w:hAnsiTheme="minorHAnsi"/>
          <w:color w:val="auto"/>
          <w:sz w:val="22"/>
          <w:szCs w:val="22"/>
        </w:rPr>
        <w:t>approach and responsive to business needs (KPI 5)</w:t>
      </w:r>
      <w:r w:rsidRPr="00526302">
        <w:rPr>
          <w:rFonts w:asciiTheme="minorHAnsi" w:hAnsiTheme="minorHAnsi"/>
          <w:color w:val="auto"/>
          <w:sz w:val="22"/>
          <w:szCs w:val="22"/>
        </w:rPr>
        <w:t>.</w:t>
      </w:r>
    </w:p>
    <w:p w14:paraId="5F15E2B8" w14:textId="569E9D85" w:rsidR="00351ECA" w:rsidRDefault="00EE4636" w:rsidP="00EE7F7C">
      <w:pPr>
        <w:pStyle w:val="ListParagraph"/>
        <w:numPr>
          <w:ilvl w:val="0"/>
          <w:numId w:val="7"/>
        </w:numPr>
        <w:spacing w:after="120"/>
        <w:ind w:left="714" w:hanging="357"/>
        <w:contextualSpacing w:val="0"/>
      </w:pPr>
      <w:r>
        <w:rPr>
          <w:rFonts w:asciiTheme="minorHAnsi" w:hAnsiTheme="minorHAnsi"/>
          <w:color w:val="auto"/>
          <w:sz w:val="22"/>
          <w:szCs w:val="22"/>
        </w:rPr>
        <w:t xml:space="preserve">Most survey respondents, </w:t>
      </w:r>
      <w:r w:rsidR="00351ECA" w:rsidRPr="00607BE2">
        <w:rPr>
          <w:rFonts w:asciiTheme="minorHAnsi" w:hAnsiTheme="minorHAnsi"/>
          <w:color w:val="auto"/>
          <w:sz w:val="22"/>
          <w:szCs w:val="22"/>
        </w:rPr>
        <w:t>98 per cent</w:t>
      </w:r>
      <w:r>
        <w:rPr>
          <w:rFonts w:asciiTheme="minorHAnsi" w:hAnsiTheme="minorHAnsi"/>
          <w:color w:val="auto"/>
          <w:sz w:val="22"/>
          <w:szCs w:val="22"/>
        </w:rPr>
        <w:t xml:space="preserve">, agreed </w:t>
      </w:r>
      <w:r w:rsidR="00351ECA" w:rsidRPr="00607BE2">
        <w:rPr>
          <w:rFonts w:asciiTheme="minorHAnsi" w:hAnsiTheme="minorHAnsi"/>
          <w:color w:val="auto"/>
          <w:sz w:val="22"/>
          <w:szCs w:val="22"/>
        </w:rPr>
        <w:t xml:space="preserve">that </w:t>
      </w:r>
      <w:r>
        <w:rPr>
          <w:rFonts w:asciiTheme="minorHAnsi" w:hAnsiTheme="minorHAnsi"/>
          <w:color w:val="auto"/>
          <w:sz w:val="22"/>
          <w:szCs w:val="22"/>
        </w:rPr>
        <w:t>we</w:t>
      </w:r>
      <w:r w:rsidRPr="00607BE2">
        <w:rPr>
          <w:rFonts w:asciiTheme="minorHAnsi" w:hAnsiTheme="minorHAnsi"/>
          <w:color w:val="auto"/>
          <w:sz w:val="22"/>
          <w:szCs w:val="22"/>
        </w:rPr>
        <w:t xml:space="preserve"> </w:t>
      </w:r>
      <w:r>
        <w:rPr>
          <w:rFonts w:asciiTheme="minorHAnsi" w:hAnsiTheme="minorHAnsi"/>
          <w:color w:val="auto"/>
          <w:sz w:val="22"/>
          <w:szCs w:val="22"/>
        </w:rPr>
        <w:t>are</w:t>
      </w:r>
      <w:r w:rsidR="00351ECA" w:rsidRPr="00607BE2">
        <w:rPr>
          <w:rFonts w:asciiTheme="minorHAnsi" w:hAnsiTheme="minorHAnsi"/>
          <w:color w:val="auto"/>
          <w:sz w:val="22"/>
          <w:szCs w:val="22"/>
        </w:rPr>
        <w:t xml:space="preserve"> </w:t>
      </w:r>
      <w:r w:rsidR="00351ECA" w:rsidRPr="00607BE2">
        <w:rPr>
          <w:rFonts w:asciiTheme="minorHAnsi" w:eastAsiaTheme="minorHAnsi" w:hAnsiTheme="minorHAnsi" w:cstheme="minorBidi"/>
          <w:color w:val="auto"/>
          <w:sz w:val="22"/>
          <w:szCs w:val="22"/>
          <w:lang w:eastAsia="en-US"/>
        </w:rPr>
        <w:t>committed to continuous improvement</w:t>
      </w:r>
      <w:r w:rsidR="00351ECA" w:rsidRPr="00572D4F" w:rsidDel="00E52207">
        <w:rPr>
          <w:rFonts w:asciiTheme="minorHAnsi" w:eastAsiaTheme="minorHAnsi" w:hAnsiTheme="minorHAnsi" w:cstheme="minorBidi"/>
          <w:color w:val="auto"/>
          <w:sz w:val="22"/>
          <w:szCs w:val="22"/>
          <w:lang w:eastAsia="en-US"/>
        </w:rPr>
        <w:t xml:space="preserve"> </w:t>
      </w:r>
      <w:r w:rsidR="00351ECA" w:rsidRPr="00572D4F">
        <w:rPr>
          <w:rFonts w:asciiTheme="minorHAnsi" w:eastAsiaTheme="minorHAnsi" w:hAnsiTheme="minorHAnsi" w:cstheme="minorBidi"/>
          <w:color w:val="auto"/>
          <w:sz w:val="22"/>
          <w:szCs w:val="22"/>
          <w:lang w:eastAsia="en-US"/>
        </w:rPr>
        <w:t>(KPI 6).</w:t>
      </w:r>
      <w:r w:rsidR="00672577">
        <w:rPr>
          <w:rFonts w:asciiTheme="minorHAnsi" w:eastAsiaTheme="minorHAnsi" w:hAnsiTheme="minorHAnsi" w:cstheme="minorBidi"/>
          <w:color w:val="auto"/>
          <w:sz w:val="22"/>
          <w:szCs w:val="22"/>
          <w:lang w:eastAsia="en-US"/>
        </w:rPr>
        <w:t xml:space="preserve"> </w:t>
      </w:r>
    </w:p>
    <w:p w14:paraId="65A78DE0" w14:textId="1213C94B" w:rsidR="00351ECA" w:rsidRDefault="00EE4636" w:rsidP="00351ECA">
      <w:pPr>
        <w:spacing w:line="240" w:lineRule="auto"/>
        <w:rPr>
          <w:rFonts w:cs="Arial"/>
        </w:rPr>
      </w:pPr>
      <w:r w:rsidRPr="00285375">
        <w:rPr>
          <w:rFonts w:cs="Arial"/>
        </w:rPr>
        <w:t xml:space="preserve">There were </w:t>
      </w:r>
      <w:r>
        <w:rPr>
          <w:rFonts w:cs="Arial"/>
        </w:rPr>
        <w:t>371</w:t>
      </w:r>
      <w:r w:rsidRPr="00285375">
        <w:rPr>
          <w:rFonts w:cs="Arial"/>
        </w:rPr>
        <w:t xml:space="preserve"> decisions</w:t>
      </w:r>
      <w:r>
        <w:rPr>
          <w:rFonts w:cs="Arial"/>
        </w:rPr>
        <w:t xml:space="preserve"> in</w:t>
      </w:r>
      <w:r w:rsidR="00351ECA" w:rsidRPr="00285375">
        <w:rPr>
          <w:rFonts w:cs="Arial"/>
        </w:rPr>
        <w:t xml:space="preserve"> 201</w:t>
      </w:r>
      <w:r w:rsidR="00351ECA">
        <w:rPr>
          <w:rFonts w:cs="Arial"/>
        </w:rPr>
        <w:t>6</w:t>
      </w:r>
      <w:r w:rsidR="00351ECA" w:rsidRPr="00285375">
        <w:rPr>
          <w:rFonts w:cs="Arial"/>
        </w:rPr>
        <w:t>-1</w:t>
      </w:r>
      <w:r w:rsidR="00351ECA">
        <w:rPr>
          <w:rFonts w:cs="Arial"/>
        </w:rPr>
        <w:t>7</w:t>
      </w:r>
      <w:r w:rsidR="00351ECA" w:rsidRPr="00285375">
        <w:rPr>
          <w:rFonts w:cs="Arial"/>
        </w:rPr>
        <w:t xml:space="preserve"> </w:t>
      </w:r>
      <w:r w:rsidR="00351ECA">
        <w:rPr>
          <w:rFonts w:cs="Arial"/>
        </w:rPr>
        <w:t>(compared to 478 in 2015-16)</w:t>
      </w:r>
      <w:r w:rsidR="00351ECA" w:rsidRPr="00285375">
        <w:rPr>
          <w:rFonts w:cs="Arial"/>
        </w:rPr>
        <w:t xml:space="preserve"> made </w:t>
      </w:r>
      <w:r w:rsidR="00351ECA">
        <w:rPr>
          <w:rFonts w:cs="Arial"/>
        </w:rPr>
        <w:t>for</w:t>
      </w:r>
      <w:r w:rsidR="00351ECA" w:rsidRPr="00285375">
        <w:rPr>
          <w:rFonts w:cs="Arial"/>
        </w:rPr>
        <w:t xml:space="preserve"> applications </w:t>
      </w:r>
      <w:r w:rsidR="00351ECA">
        <w:rPr>
          <w:rFonts w:cs="Arial"/>
        </w:rPr>
        <w:t>related to</w:t>
      </w:r>
      <w:r w:rsidR="00351ECA" w:rsidRPr="00285375">
        <w:rPr>
          <w:rFonts w:cs="Arial"/>
        </w:rPr>
        <w:t xml:space="preserve"> offshore petroleum titles. </w:t>
      </w:r>
      <w:r>
        <w:rPr>
          <w:rFonts w:cs="Arial"/>
        </w:rPr>
        <w:t xml:space="preserve"> </w:t>
      </w:r>
      <w:r w:rsidR="00351ECA" w:rsidRPr="00285375">
        <w:rPr>
          <w:rFonts w:cs="Arial"/>
        </w:rPr>
        <w:t>NOPTA provided advic</w:t>
      </w:r>
      <w:r w:rsidR="00A74B02">
        <w:rPr>
          <w:rFonts w:cs="Arial"/>
        </w:rPr>
        <w:t>e to the Joint Authorities</w:t>
      </w:r>
      <w:r w:rsidR="00351ECA" w:rsidRPr="00285375">
        <w:rPr>
          <w:rFonts w:cs="Arial"/>
        </w:rPr>
        <w:t xml:space="preserve"> for decisions on </w:t>
      </w:r>
      <w:r w:rsidR="00351ECA">
        <w:rPr>
          <w:rFonts w:cs="Arial"/>
        </w:rPr>
        <w:t xml:space="preserve">167 </w:t>
      </w:r>
      <w:r w:rsidR="00351ECA" w:rsidRPr="00285375">
        <w:rPr>
          <w:rFonts w:cs="Arial"/>
        </w:rPr>
        <w:t xml:space="preserve">applications and the Titles Administrator made </w:t>
      </w:r>
      <w:r w:rsidR="00351ECA">
        <w:rPr>
          <w:rFonts w:cs="Arial"/>
        </w:rPr>
        <w:t>204</w:t>
      </w:r>
      <w:r w:rsidR="00351ECA" w:rsidRPr="00285375">
        <w:rPr>
          <w:rFonts w:cs="Arial"/>
        </w:rPr>
        <w:t xml:space="preserve"> decisions. </w:t>
      </w:r>
      <w:r w:rsidR="001810C4">
        <w:rPr>
          <w:rFonts w:cs="Arial"/>
        </w:rPr>
        <w:t xml:space="preserve"> </w:t>
      </w:r>
      <w:r w:rsidR="00351ECA" w:rsidRPr="00285375">
        <w:rPr>
          <w:rFonts w:cs="Arial"/>
        </w:rPr>
        <w:t xml:space="preserve">Table 1 illustrates the decisions made by the responsible authority and by jurisdiction. </w:t>
      </w:r>
    </w:p>
    <w:tbl>
      <w:tblPr>
        <w:tblW w:w="5000" w:type="pct"/>
        <w:tblCellMar>
          <w:left w:w="0" w:type="dxa"/>
          <w:right w:w="0" w:type="dxa"/>
        </w:tblCellMar>
        <w:tblLook w:val="04A0" w:firstRow="1" w:lastRow="0" w:firstColumn="1" w:lastColumn="0" w:noHBand="0" w:noVBand="1"/>
        <w:tblCaption w:val="Table 1 - Decisions by Jurisdiction"/>
      </w:tblPr>
      <w:tblGrid>
        <w:gridCol w:w="3378"/>
        <w:gridCol w:w="879"/>
        <w:gridCol w:w="718"/>
        <w:gridCol w:w="563"/>
        <w:gridCol w:w="661"/>
        <w:gridCol w:w="706"/>
        <w:gridCol w:w="706"/>
        <w:gridCol w:w="592"/>
        <w:gridCol w:w="823"/>
      </w:tblGrid>
      <w:tr w:rsidR="00351ECA" w14:paraId="2686A87C" w14:textId="77777777" w:rsidTr="00EE7F7C">
        <w:trPr>
          <w:trHeight w:val="265"/>
        </w:trPr>
        <w:tc>
          <w:tcPr>
            <w:tcW w:w="1871" w:type="pct"/>
            <w:tcBorders>
              <w:top w:val="single" w:sz="8" w:space="0" w:color="F79646"/>
              <w:left w:val="nil"/>
              <w:bottom w:val="nil"/>
              <w:right w:val="nil"/>
            </w:tcBorders>
            <w:shd w:val="clear" w:color="auto" w:fill="F79646"/>
            <w:noWrap/>
            <w:tcMar>
              <w:top w:w="0" w:type="dxa"/>
              <w:left w:w="108" w:type="dxa"/>
              <w:bottom w:w="0" w:type="dxa"/>
              <w:right w:w="108" w:type="dxa"/>
            </w:tcMar>
            <w:vAlign w:val="bottom"/>
            <w:hideMark/>
          </w:tcPr>
          <w:p w14:paraId="67FAACD4" w14:textId="77777777" w:rsidR="00351ECA" w:rsidRDefault="00351ECA" w:rsidP="00CD3655">
            <w:pPr>
              <w:spacing w:line="240" w:lineRule="auto"/>
              <w:rPr>
                <w:b/>
                <w:bCs/>
                <w:color w:val="FFFFFF"/>
                <w:lang w:eastAsia="en-AU"/>
              </w:rPr>
            </w:pPr>
            <w:r>
              <w:rPr>
                <w:b/>
                <w:bCs/>
                <w:color w:val="FFFFFF"/>
                <w:lang w:eastAsia="en-AU"/>
              </w:rPr>
              <w:t> Table 1 – Decisions by Jurisdiction</w:t>
            </w:r>
          </w:p>
        </w:tc>
        <w:tc>
          <w:tcPr>
            <w:tcW w:w="3129" w:type="pct"/>
            <w:gridSpan w:val="8"/>
            <w:tcBorders>
              <w:top w:val="single" w:sz="8" w:space="0" w:color="F79646"/>
              <w:left w:val="nil"/>
              <w:bottom w:val="single" w:sz="8" w:space="0" w:color="F79646"/>
              <w:right w:val="nil"/>
            </w:tcBorders>
            <w:shd w:val="clear" w:color="auto" w:fill="F79646"/>
            <w:noWrap/>
            <w:tcMar>
              <w:top w:w="0" w:type="dxa"/>
              <w:left w:w="108" w:type="dxa"/>
              <w:bottom w:w="0" w:type="dxa"/>
              <w:right w:w="108" w:type="dxa"/>
            </w:tcMar>
            <w:vAlign w:val="bottom"/>
            <w:hideMark/>
          </w:tcPr>
          <w:p w14:paraId="16C534C8" w14:textId="77777777" w:rsidR="00351ECA" w:rsidRDefault="00351ECA" w:rsidP="00CD3655">
            <w:pPr>
              <w:spacing w:line="240" w:lineRule="auto"/>
              <w:jc w:val="center"/>
              <w:rPr>
                <w:b/>
                <w:bCs/>
                <w:color w:val="FFFFFF"/>
                <w:lang w:eastAsia="en-AU"/>
              </w:rPr>
            </w:pPr>
            <w:r>
              <w:rPr>
                <w:b/>
                <w:bCs/>
                <w:color w:val="FFFFFF"/>
                <w:lang w:eastAsia="en-AU"/>
              </w:rPr>
              <w:t>Jurisdiction</w:t>
            </w:r>
          </w:p>
        </w:tc>
      </w:tr>
      <w:tr w:rsidR="00351ECA" w14:paraId="794B17AA" w14:textId="77777777" w:rsidTr="00597822">
        <w:trPr>
          <w:trHeight w:val="237"/>
        </w:trPr>
        <w:tc>
          <w:tcPr>
            <w:tcW w:w="1871" w:type="pct"/>
            <w:tcBorders>
              <w:top w:val="single" w:sz="8" w:space="0" w:color="F79646"/>
              <w:left w:val="nil"/>
              <w:bottom w:val="nil"/>
              <w:right w:val="nil"/>
            </w:tcBorders>
            <w:shd w:val="clear" w:color="auto" w:fill="FABF8F"/>
            <w:noWrap/>
            <w:tcMar>
              <w:top w:w="0" w:type="dxa"/>
              <w:left w:w="108" w:type="dxa"/>
              <w:bottom w:w="0" w:type="dxa"/>
              <w:right w:w="108" w:type="dxa"/>
            </w:tcMar>
            <w:vAlign w:val="bottom"/>
            <w:hideMark/>
          </w:tcPr>
          <w:p w14:paraId="16FA6FFF" w14:textId="77777777" w:rsidR="00351ECA" w:rsidRDefault="00351ECA" w:rsidP="00CD3655">
            <w:pPr>
              <w:spacing w:line="240" w:lineRule="auto"/>
              <w:rPr>
                <w:b/>
                <w:bCs/>
                <w:color w:val="FFFFFF"/>
                <w:lang w:eastAsia="en-AU"/>
              </w:rPr>
            </w:pPr>
            <w:r>
              <w:rPr>
                <w:b/>
                <w:bCs/>
                <w:color w:val="FFFFFF"/>
                <w:lang w:eastAsia="en-AU"/>
              </w:rPr>
              <w:t>Decision Maker</w:t>
            </w:r>
          </w:p>
        </w:tc>
        <w:tc>
          <w:tcPr>
            <w:tcW w:w="487" w:type="pct"/>
            <w:noWrap/>
            <w:tcMar>
              <w:top w:w="0" w:type="dxa"/>
              <w:left w:w="108" w:type="dxa"/>
              <w:bottom w:w="0" w:type="dxa"/>
              <w:right w:w="108" w:type="dxa"/>
            </w:tcMar>
            <w:vAlign w:val="bottom"/>
            <w:hideMark/>
          </w:tcPr>
          <w:p w14:paraId="20A74009" w14:textId="77777777" w:rsidR="00351ECA" w:rsidRDefault="00351ECA" w:rsidP="00CD3655">
            <w:pPr>
              <w:spacing w:line="240" w:lineRule="auto"/>
              <w:jc w:val="center"/>
              <w:rPr>
                <w:lang w:eastAsia="en-AU"/>
              </w:rPr>
            </w:pPr>
            <w:r>
              <w:rPr>
                <w:lang w:eastAsia="en-AU"/>
              </w:rPr>
              <w:t>WA</w:t>
            </w:r>
          </w:p>
        </w:tc>
        <w:tc>
          <w:tcPr>
            <w:tcW w:w="398" w:type="pct"/>
            <w:noWrap/>
            <w:tcMar>
              <w:top w:w="0" w:type="dxa"/>
              <w:left w:w="108" w:type="dxa"/>
              <w:bottom w:w="0" w:type="dxa"/>
              <w:right w:w="108" w:type="dxa"/>
            </w:tcMar>
            <w:vAlign w:val="bottom"/>
            <w:hideMark/>
          </w:tcPr>
          <w:p w14:paraId="4B506E2A" w14:textId="77777777" w:rsidR="00351ECA" w:rsidRDefault="00351ECA" w:rsidP="00CD3655">
            <w:pPr>
              <w:spacing w:line="240" w:lineRule="auto"/>
              <w:jc w:val="center"/>
              <w:rPr>
                <w:lang w:eastAsia="en-AU"/>
              </w:rPr>
            </w:pPr>
            <w:r>
              <w:rPr>
                <w:lang w:eastAsia="en-AU"/>
              </w:rPr>
              <w:t>SA</w:t>
            </w:r>
          </w:p>
        </w:tc>
        <w:tc>
          <w:tcPr>
            <w:tcW w:w="312" w:type="pct"/>
            <w:noWrap/>
            <w:tcMar>
              <w:top w:w="0" w:type="dxa"/>
              <w:left w:w="108" w:type="dxa"/>
              <w:bottom w:w="0" w:type="dxa"/>
              <w:right w:w="108" w:type="dxa"/>
            </w:tcMar>
            <w:vAlign w:val="bottom"/>
            <w:hideMark/>
          </w:tcPr>
          <w:p w14:paraId="679F1361" w14:textId="77777777" w:rsidR="00351ECA" w:rsidRDefault="00351ECA" w:rsidP="00CD3655">
            <w:pPr>
              <w:spacing w:line="240" w:lineRule="auto"/>
              <w:jc w:val="center"/>
              <w:rPr>
                <w:lang w:eastAsia="en-AU"/>
              </w:rPr>
            </w:pPr>
            <w:r>
              <w:rPr>
                <w:lang w:eastAsia="en-AU"/>
              </w:rPr>
              <w:t>NT</w:t>
            </w:r>
          </w:p>
        </w:tc>
        <w:tc>
          <w:tcPr>
            <w:tcW w:w="366" w:type="pct"/>
            <w:noWrap/>
            <w:tcMar>
              <w:top w:w="0" w:type="dxa"/>
              <w:left w:w="108" w:type="dxa"/>
              <w:bottom w:w="0" w:type="dxa"/>
              <w:right w:w="108" w:type="dxa"/>
            </w:tcMar>
            <w:vAlign w:val="bottom"/>
            <w:hideMark/>
          </w:tcPr>
          <w:p w14:paraId="5CB74D13" w14:textId="77777777" w:rsidR="00351ECA" w:rsidRDefault="00351ECA" w:rsidP="00CD3655">
            <w:pPr>
              <w:spacing w:line="240" w:lineRule="auto"/>
              <w:jc w:val="center"/>
              <w:rPr>
                <w:lang w:eastAsia="en-AU"/>
              </w:rPr>
            </w:pPr>
            <w:r>
              <w:rPr>
                <w:lang w:eastAsia="en-AU"/>
              </w:rPr>
              <w:t>VIC</w:t>
            </w:r>
          </w:p>
        </w:tc>
        <w:tc>
          <w:tcPr>
            <w:tcW w:w="391" w:type="pct"/>
            <w:noWrap/>
            <w:tcMar>
              <w:top w:w="0" w:type="dxa"/>
              <w:left w:w="108" w:type="dxa"/>
              <w:bottom w:w="0" w:type="dxa"/>
              <w:right w:w="108" w:type="dxa"/>
            </w:tcMar>
            <w:vAlign w:val="bottom"/>
            <w:hideMark/>
          </w:tcPr>
          <w:p w14:paraId="7F14ADC3" w14:textId="77777777" w:rsidR="00351ECA" w:rsidRDefault="00351ECA" w:rsidP="00CD3655">
            <w:pPr>
              <w:spacing w:line="240" w:lineRule="auto"/>
              <w:jc w:val="center"/>
              <w:rPr>
                <w:lang w:eastAsia="en-AU"/>
              </w:rPr>
            </w:pPr>
            <w:r>
              <w:rPr>
                <w:lang w:eastAsia="en-AU"/>
              </w:rPr>
              <w:t>AC</w:t>
            </w:r>
          </w:p>
        </w:tc>
        <w:tc>
          <w:tcPr>
            <w:tcW w:w="391" w:type="pct"/>
            <w:noWrap/>
            <w:tcMar>
              <w:top w:w="0" w:type="dxa"/>
              <w:left w:w="108" w:type="dxa"/>
              <w:bottom w:w="0" w:type="dxa"/>
              <w:right w:w="108" w:type="dxa"/>
            </w:tcMar>
            <w:vAlign w:val="bottom"/>
            <w:hideMark/>
          </w:tcPr>
          <w:p w14:paraId="575B0634" w14:textId="77777777" w:rsidR="00351ECA" w:rsidRDefault="00351ECA" w:rsidP="00CD3655">
            <w:pPr>
              <w:spacing w:line="240" w:lineRule="auto"/>
              <w:jc w:val="center"/>
              <w:rPr>
                <w:lang w:eastAsia="en-AU"/>
              </w:rPr>
            </w:pPr>
            <w:r>
              <w:rPr>
                <w:lang w:eastAsia="en-AU"/>
              </w:rPr>
              <w:t>NSW</w:t>
            </w:r>
          </w:p>
        </w:tc>
        <w:tc>
          <w:tcPr>
            <w:tcW w:w="328" w:type="pct"/>
            <w:noWrap/>
            <w:tcMar>
              <w:top w:w="0" w:type="dxa"/>
              <w:left w:w="108" w:type="dxa"/>
              <w:bottom w:w="0" w:type="dxa"/>
              <w:right w:w="108" w:type="dxa"/>
            </w:tcMar>
            <w:vAlign w:val="bottom"/>
            <w:hideMark/>
          </w:tcPr>
          <w:p w14:paraId="5A09D62D" w14:textId="77777777" w:rsidR="00351ECA" w:rsidRDefault="00351ECA" w:rsidP="00CD3655">
            <w:pPr>
              <w:spacing w:line="240" w:lineRule="auto"/>
              <w:jc w:val="center"/>
              <w:rPr>
                <w:lang w:eastAsia="en-AU"/>
              </w:rPr>
            </w:pPr>
            <w:r>
              <w:rPr>
                <w:lang w:eastAsia="en-AU"/>
              </w:rPr>
              <w:t>QLD</w:t>
            </w:r>
          </w:p>
        </w:tc>
        <w:tc>
          <w:tcPr>
            <w:tcW w:w="455" w:type="pct"/>
            <w:noWrap/>
            <w:tcMar>
              <w:top w:w="0" w:type="dxa"/>
              <w:left w:w="108" w:type="dxa"/>
              <w:bottom w:w="0" w:type="dxa"/>
              <w:right w:w="108" w:type="dxa"/>
            </w:tcMar>
            <w:vAlign w:val="bottom"/>
            <w:hideMark/>
          </w:tcPr>
          <w:p w14:paraId="466A5BA8" w14:textId="77777777" w:rsidR="00351ECA" w:rsidRDefault="00351ECA" w:rsidP="00CD3655">
            <w:pPr>
              <w:spacing w:line="240" w:lineRule="auto"/>
              <w:jc w:val="center"/>
              <w:rPr>
                <w:lang w:eastAsia="en-AU"/>
              </w:rPr>
            </w:pPr>
            <w:r>
              <w:rPr>
                <w:lang w:eastAsia="en-AU"/>
              </w:rPr>
              <w:t>TAS</w:t>
            </w:r>
          </w:p>
        </w:tc>
      </w:tr>
      <w:tr w:rsidR="00351ECA" w14:paraId="2524140C" w14:textId="77777777" w:rsidTr="00597822">
        <w:trPr>
          <w:trHeight w:val="237"/>
        </w:trPr>
        <w:tc>
          <w:tcPr>
            <w:tcW w:w="1871" w:type="pct"/>
            <w:shd w:val="clear" w:color="auto" w:fill="FABF8F"/>
            <w:noWrap/>
            <w:tcMar>
              <w:top w:w="0" w:type="dxa"/>
              <w:left w:w="108" w:type="dxa"/>
              <w:bottom w:w="0" w:type="dxa"/>
              <w:right w:w="108" w:type="dxa"/>
            </w:tcMar>
            <w:vAlign w:val="bottom"/>
            <w:hideMark/>
          </w:tcPr>
          <w:p w14:paraId="50D7DA94" w14:textId="77777777" w:rsidR="00351ECA" w:rsidRDefault="00351ECA" w:rsidP="00CD3655">
            <w:pPr>
              <w:spacing w:line="240" w:lineRule="auto"/>
              <w:rPr>
                <w:b/>
                <w:bCs/>
                <w:color w:val="FFFFFF"/>
                <w:lang w:eastAsia="en-AU"/>
              </w:rPr>
            </w:pPr>
            <w:r>
              <w:rPr>
                <w:b/>
                <w:bCs/>
                <w:color w:val="FFFFFF"/>
                <w:lang w:eastAsia="en-AU"/>
              </w:rPr>
              <w:t>Joint Authority</w:t>
            </w:r>
          </w:p>
        </w:tc>
        <w:tc>
          <w:tcPr>
            <w:tcW w:w="487" w:type="pct"/>
            <w:shd w:val="clear" w:color="auto" w:fill="FDE9D9"/>
            <w:noWrap/>
            <w:tcMar>
              <w:top w:w="0" w:type="dxa"/>
              <w:left w:w="108" w:type="dxa"/>
              <w:bottom w:w="0" w:type="dxa"/>
              <w:right w:w="108" w:type="dxa"/>
            </w:tcMar>
            <w:vAlign w:val="bottom"/>
            <w:hideMark/>
          </w:tcPr>
          <w:p w14:paraId="03E9497E" w14:textId="77777777" w:rsidR="00351ECA" w:rsidRPr="00852951" w:rsidRDefault="00351ECA" w:rsidP="00CD3655">
            <w:pPr>
              <w:spacing w:line="240" w:lineRule="auto"/>
              <w:jc w:val="center"/>
              <w:rPr>
                <w:lang w:eastAsia="en-AU"/>
              </w:rPr>
            </w:pPr>
            <w:r>
              <w:rPr>
                <w:lang w:eastAsia="en-AU"/>
              </w:rPr>
              <w:t>129</w:t>
            </w:r>
          </w:p>
        </w:tc>
        <w:tc>
          <w:tcPr>
            <w:tcW w:w="398" w:type="pct"/>
            <w:shd w:val="clear" w:color="auto" w:fill="FDE9D9"/>
            <w:noWrap/>
            <w:tcMar>
              <w:top w:w="0" w:type="dxa"/>
              <w:left w:w="108" w:type="dxa"/>
              <w:bottom w:w="0" w:type="dxa"/>
              <w:right w:w="108" w:type="dxa"/>
            </w:tcMar>
            <w:vAlign w:val="bottom"/>
            <w:hideMark/>
          </w:tcPr>
          <w:p w14:paraId="27B52591" w14:textId="77777777" w:rsidR="00351ECA" w:rsidRPr="00852951" w:rsidRDefault="00351ECA" w:rsidP="00CD3655">
            <w:pPr>
              <w:spacing w:line="240" w:lineRule="auto"/>
              <w:jc w:val="center"/>
              <w:rPr>
                <w:lang w:eastAsia="en-AU"/>
              </w:rPr>
            </w:pPr>
            <w:r>
              <w:rPr>
                <w:lang w:eastAsia="en-AU"/>
              </w:rPr>
              <w:t>5</w:t>
            </w:r>
          </w:p>
        </w:tc>
        <w:tc>
          <w:tcPr>
            <w:tcW w:w="312" w:type="pct"/>
            <w:shd w:val="clear" w:color="auto" w:fill="FDE9D9"/>
            <w:noWrap/>
            <w:tcMar>
              <w:top w:w="0" w:type="dxa"/>
              <w:left w:w="108" w:type="dxa"/>
              <w:bottom w:w="0" w:type="dxa"/>
              <w:right w:w="108" w:type="dxa"/>
            </w:tcMar>
            <w:vAlign w:val="bottom"/>
            <w:hideMark/>
          </w:tcPr>
          <w:p w14:paraId="6B6EE764" w14:textId="77777777" w:rsidR="00351ECA" w:rsidRPr="00852951" w:rsidRDefault="00351ECA" w:rsidP="00CD3655">
            <w:pPr>
              <w:spacing w:line="240" w:lineRule="auto"/>
              <w:jc w:val="center"/>
              <w:rPr>
                <w:lang w:eastAsia="en-AU"/>
              </w:rPr>
            </w:pPr>
            <w:r>
              <w:rPr>
                <w:lang w:eastAsia="en-AU"/>
              </w:rPr>
              <w:t>4</w:t>
            </w:r>
          </w:p>
        </w:tc>
        <w:tc>
          <w:tcPr>
            <w:tcW w:w="366" w:type="pct"/>
            <w:shd w:val="clear" w:color="auto" w:fill="FDE9D9"/>
            <w:noWrap/>
            <w:tcMar>
              <w:top w:w="0" w:type="dxa"/>
              <w:left w:w="108" w:type="dxa"/>
              <w:bottom w:w="0" w:type="dxa"/>
              <w:right w:w="108" w:type="dxa"/>
            </w:tcMar>
            <w:vAlign w:val="bottom"/>
            <w:hideMark/>
          </w:tcPr>
          <w:p w14:paraId="18AFDE9E" w14:textId="77777777" w:rsidR="00351ECA" w:rsidRPr="00852951" w:rsidRDefault="00351ECA" w:rsidP="00CD3655">
            <w:pPr>
              <w:spacing w:line="240" w:lineRule="auto"/>
              <w:jc w:val="center"/>
              <w:rPr>
                <w:lang w:eastAsia="en-AU"/>
              </w:rPr>
            </w:pPr>
            <w:r>
              <w:rPr>
                <w:lang w:eastAsia="en-AU"/>
              </w:rPr>
              <w:t>20</w:t>
            </w:r>
          </w:p>
        </w:tc>
        <w:tc>
          <w:tcPr>
            <w:tcW w:w="391" w:type="pct"/>
            <w:shd w:val="clear" w:color="auto" w:fill="FDE9D9"/>
            <w:noWrap/>
            <w:tcMar>
              <w:top w:w="0" w:type="dxa"/>
              <w:left w:w="108" w:type="dxa"/>
              <w:bottom w:w="0" w:type="dxa"/>
              <w:right w:w="108" w:type="dxa"/>
            </w:tcMar>
            <w:vAlign w:val="bottom"/>
            <w:hideMark/>
          </w:tcPr>
          <w:p w14:paraId="2DFC0D78" w14:textId="77777777" w:rsidR="00351ECA" w:rsidRPr="00852951" w:rsidRDefault="00351ECA" w:rsidP="00CD3655">
            <w:pPr>
              <w:spacing w:line="240" w:lineRule="auto"/>
              <w:jc w:val="center"/>
              <w:rPr>
                <w:lang w:eastAsia="en-AU"/>
              </w:rPr>
            </w:pPr>
            <w:r>
              <w:rPr>
                <w:lang w:eastAsia="en-AU"/>
              </w:rPr>
              <w:t>7</w:t>
            </w:r>
          </w:p>
        </w:tc>
        <w:tc>
          <w:tcPr>
            <w:tcW w:w="391" w:type="pct"/>
            <w:shd w:val="clear" w:color="auto" w:fill="FDE9D9"/>
            <w:noWrap/>
            <w:tcMar>
              <w:top w:w="0" w:type="dxa"/>
              <w:left w:w="108" w:type="dxa"/>
              <w:bottom w:w="0" w:type="dxa"/>
              <w:right w:w="108" w:type="dxa"/>
            </w:tcMar>
            <w:vAlign w:val="bottom"/>
            <w:hideMark/>
          </w:tcPr>
          <w:p w14:paraId="399D85AB" w14:textId="77777777" w:rsidR="00351ECA" w:rsidRPr="00852951" w:rsidRDefault="00351ECA" w:rsidP="00CD3655">
            <w:pPr>
              <w:spacing w:line="240" w:lineRule="auto"/>
              <w:jc w:val="center"/>
              <w:rPr>
                <w:lang w:eastAsia="en-AU"/>
              </w:rPr>
            </w:pPr>
            <w:r>
              <w:rPr>
                <w:lang w:eastAsia="en-AU"/>
              </w:rPr>
              <w:t>0</w:t>
            </w:r>
          </w:p>
        </w:tc>
        <w:tc>
          <w:tcPr>
            <w:tcW w:w="328" w:type="pct"/>
            <w:shd w:val="clear" w:color="auto" w:fill="FDE9D9"/>
            <w:noWrap/>
            <w:tcMar>
              <w:top w:w="0" w:type="dxa"/>
              <w:left w:w="108" w:type="dxa"/>
              <w:bottom w:w="0" w:type="dxa"/>
              <w:right w:w="108" w:type="dxa"/>
            </w:tcMar>
            <w:vAlign w:val="bottom"/>
            <w:hideMark/>
          </w:tcPr>
          <w:p w14:paraId="6B1DB920" w14:textId="77777777" w:rsidR="00351ECA" w:rsidRPr="00852951" w:rsidRDefault="00351ECA" w:rsidP="00CD3655">
            <w:pPr>
              <w:spacing w:line="240" w:lineRule="auto"/>
              <w:jc w:val="center"/>
              <w:rPr>
                <w:lang w:eastAsia="en-AU"/>
              </w:rPr>
            </w:pPr>
            <w:r>
              <w:rPr>
                <w:lang w:eastAsia="en-AU"/>
              </w:rPr>
              <w:t>0</w:t>
            </w:r>
          </w:p>
        </w:tc>
        <w:tc>
          <w:tcPr>
            <w:tcW w:w="455" w:type="pct"/>
            <w:shd w:val="clear" w:color="auto" w:fill="FDE9D9"/>
            <w:noWrap/>
            <w:tcMar>
              <w:top w:w="0" w:type="dxa"/>
              <w:left w:w="108" w:type="dxa"/>
              <w:bottom w:w="0" w:type="dxa"/>
              <w:right w:w="108" w:type="dxa"/>
            </w:tcMar>
            <w:vAlign w:val="bottom"/>
            <w:hideMark/>
          </w:tcPr>
          <w:p w14:paraId="6E53EFD1" w14:textId="77777777" w:rsidR="00351ECA" w:rsidRPr="00852951" w:rsidRDefault="00351ECA" w:rsidP="00CD3655">
            <w:pPr>
              <w:spacing w:line="240" w:lineRule="auto"/>
              <w:jc w:val="center"/>
              <w:rPr>
                <w:lang w:eastAsia="en-AU"/>
              </w:rPr>
            </w:pPr>
            <w:r>
              <w:rPr>
                <w:lang w:eastAsia="en-AU"/>
              </w:rPr>
              <w:t>2</w:t>
            </w:r>
          </w:p>
        </w:tc>
      </w:tr>
      <w:tr w:rsidR="00351ECA" w14:paraId="59A288DE" w14:textId="77777777" w:rsidTr="00597822">
        <w:trPr>
          <w:trHeight w:val="237"/>
        </w:trPr>
        <w:tc>
          <w:tcPr>
            <w:tcW w:w="1871" w:type="pct"/>
            <w:shd w:val="clear" w:color="auto" w:fill="FABF8F"/>
            <w:noWrap/>
            <w:tcMar>
              <w:top w:w="0" w:type="dxa"/>
              <w:left w:w="108" w:type="dxa"/>
              <w:bottom w:w="0" w:type="dxa"/>
              <w:right w:w="108" w:type="dxa"/>
            </w:tcMar>
            <w:vAlign w:val="bottom"/>
            <w:hideMark/>
          </w:tcPr>
          <w:p w14:paraId="7421D238" w14:textId="77777777" w:rsidR="00351ECA" w:rsidRDefault="00351ECA" w:rsidP="00CD3655">
            <w:pPr>
              <w:spacing w:line="240" w:lineRule="auto"/>
              <w:rPr>
                <w:b/>
                <w:bCs/>
                <w:color w:val="FFFFFF"/>
                <w:lang w:eastAsia="en-AU"/>
              </w:rPr>
            </w:pPr>
            <w:r>
              <w:rPr>
                <w:b/>
                <w:bCs/>
                <w:color w:val="FFFFFF"/>
                <w:lang w:eastAsia="en-AU"/>
              </w:rPr>
              <w:t>Titles Administrator</w:t>
            </w:r>
          </w:p>
        </w:tc>
        <w:tc>
          <w:tcPr>
            <w:tcW w:w="487" w:type="pct"/>
            <w:noWrap/>
            <w:tcMar>
              <w:top w:w="0" w:type="dxa"/>
              <w:left w:w="108" w:type="dxa"/>
              <w:bottom w:w="0" w:type="dxa"/>
              <w:right w:w="108" w:type="dxa"/>
            </w:tcMar>
            <w:vAlign w:val="bottom"/>
            <w:hideMark/>
          </w:tcPr>
          <w:p w14:paraId="508AA195" w14:textId="77777777" w:rsidR="00351ECA" w:rsidRPr="00852951" w:rsidRDefault="00351ECA" w:rsidP="00CD3655">
            <w:pPr>
              <w:spacing w:line="240" w:lineRule="auto"/>
              <w:jc w:val="center"/>
              <w:rPr>
                <w:lang w:eastAsia="en-AU"/>
              </w:rPr>
            </w:pPr>
            <w:r w:rsidRPr="00852951">
              <w:rPr>
                <w:lang w:eastAsia="en-AU"/>
              </w:rPr>
              <w:t>1</w:t>
            </w:r>
            <w:r>
              <w:rPr>
                <w:lang w:eastAsia="en-AU"/>
              </w:rPr>
              <w:t>62</w:t>
            </w:r>
          </w:p>
        </w:tc>
        <w:tc>
          <w:tcPr>
            <w:tcW w:w="398" w:type="pct"/>
            <w:noWrap/>
            <w:tcMar>
              <w:top w:w="0" w:type="dxa"/>
              <w:left w:w="108" w:type="dxa"/>
              <w:bottom w:w="0" w:type="dxa"/>
              <w:right w:w="108" w:type="dxa"/>
            </w:tcMar>
            <w:vAlign w:val="bottom"/>
            <w:hideMark/>
          </w:tcPr>
          <w:p w14:paraId="7165B90D" w14:textId="77777777" w:rsidR="00351ECA" w:rsidRPr="00852951" w:rsidRDefault="00351ECA" w:rsidP="00CD3655">
            <w:pPr>
              <w:spacing w:line="240" w:lineRule="auto"/>
              <w:jc w:val="center"/>
              <w:rPr>
                <w:lang w:eastAsia="en-AU"/>
              </w:rPr>
            </w:pPr>
            <w:r>
              <w:rPr>
                <w:lang w:eastAsia="en-AU"/>
              </w:rPr>
              <w:t>8</w:t>
            </w:r>
          </w:p>
        </w:tc>
        <w:tc>
          <w:tcPr>
            <w:tcW w:w="312" w:type="pct"/>
            <w:noWrap/>
            <w:tcMar>
              <w:top w:w="0" w:type="dxa"/>
              <w:left w:w="108" w:type="dxa"/>
              <w:bottom w:w="0" w:type="dxa"/>
              <w:right w:w="108" w:type="dxa"/>
            </w:tcMar>
            <w:vAlign w:val="bottom"/>
            <w:hideMark/>
          </w:tcPr>
          <w:p w14:paraId="66792573" w14:textId="77777777" w:rsidR="00351ECA" w:rsidRPr="00852951" w:rsidRDefault="00351ECA" w:rsidP="00CD3655">
            <w:pPr>
              <w:spacing w:line="240" w:lineRule="auto"/>
              <w:jc w:val="center"/>
              <w:rPr>
                <w:lang w:eastAsia="en-AU"/>
              </w:rPr>
            </w:pPr>
            <w:r>
              <w:rPr>
                <w:lang w:eastAsia="en-AU"/>
              </w:rPr>
              <w:t>5</w:t>
            </w:r>
          </w:p>
        </w:tc>
        <w:tc>
          <w:tcPr>
            <w:tcW w:w="366" w:type="pct"/>
            <w:noWrap/>
            <w:tcMar>
              <w:top w:w="0" w:type="dxa"/>
              <w:left w:w="108" w:type="dxa"/>
              <w:bottom w:w="0" w:type="dxa"/>
              <w:right w:w="108" w:type="dxa"/>
            </w:tcMar>
            <w:vAlign w:val="bottom"/>
            <w:hideMark/>
          </w:tcPr>
          <w:p w14:paraId="509EA530" w14:textId="77777777" w:rsidR="00351ECA" w:rsidRPr="00852951" w:rsidRDefault="00351ECA" w:rsidP="00CD3655">
            <w:pPr>
              <w:spacing w:line="240" w:lineRule="auto"/>
              <w:jc w:val="center"/>
              <w:rPr>
                <w:lang w:eastAsia="en-AU"/>
              </w:rPr>
            </w:pPr>
            <w:r>
              <w:rPr>
                <w:lang w:eastAsia="en-AU"/>
              </w:rPr>
              <w:t>23</w:t>
            </w:r>
          </w:p>
        </w:tc>
        <w:tc>
          <w:tcPr>
            <w:tcW w:w="391" w:type="pct"/>
            <w:noWrap/>
            <w:tcMar>
              <w:top w:w="0" w:type="dxa"/>
              <w:left w:w="108" w:type="dxa"/>
              <w:bottom w:w="0" w:type="dxa"/>
              <w:right w:w="108" w:type="dxa"/>
            </w:tcMar>
            <w:vAlign w:val="bottom"/>
            <w:hideMark/>
          </w:tcPr>
          <w:p w14:paraId="7133F84D" w14:textId="77777777" w:rsidR="00351ECA" w:rsidRPr="00852951" w:rsidRDefault="00351ECA" w:rsidP="00CD3655">
            <w:pPr>
              <w:spacing w:line="240" w:lineRule="auto"/>
              <w:jc w:val="center"/>
              <w:rPr>
                <w:lang w:eastAsia="en-AU"/>
              </w:rPr>
            </w:pPr>
            <w:r>
              <w:rPr>
                <w:lang w:eastAsia="en-AU"/>
              </w:rPr>
              <w:t>5</w:t>
            </w:r>
          </w:p>
        </w:tc>
        <w:tc>
          <w:tcPr>
            <w:tcW w:w="391" w:type="pct"/>
            <w:noWrap/>
            <w:tcMar>
              <w:top w:w="0" w:type="dxa"/>
              <w:left w:w="108" w:type="dxa"/>
              <w:bottom w:w="0" w:type="dxa"/>
              <w:right w:w="108" w:type="dxa"/>
            </w:tcMar>
            <w:vAlign w:val="bottom"/>
            <w:hideMark/>
          </w:tcPr>
          <w:p w14:paraId="71C9A851" w14:textId="77777777" w:rsidR="00351ECA" w:rsidRPr="00852951" w:rsidRDefault="00351ECA" w:rsidP="00CD3655">
            <w:pPr>
              <w:spacing w:line="240" w:lineRule="auto"/>
              <w:jc w:val="center"/>
              <w:rPr>
                <w:lang w:eastAsia="en-AU"/>
              </w:rPr>
            </w:pPr>
            <w:r w:rsidRPr="00852951">
              <w:rPr>
                <w:lang w:eastAsia="en-AU"/>
              </w:rPr>
              <w:t>0</w:t>
            </w:r>
          </w:p>
        </w:tc>
        <w:tc>
          <w:tcPr>
            <w:tcW w:w="328" w:type="pct"/>
            <w:noWrap/>
            <w:tcMar>
              <w:top w:w="0" w:type="dxa"/>
              <w:left w:w="108" w:type="dxa"/>
              <w:bottom w:w="0" w:type="dxa"/>
              <w:right w:w="108" w:type="dxa"/>
            </w:tcMar>
            <w:vAlign w:val="bottom"/>
            <w:hideMark/>
          </w:tcPr>
          <w:p w14:paraId="604B1F7D" w14:textId="77777777" w:rsidR="00351ECA" w:rsidRPr="00852951" w:rsidRDefault="00351ECA" w:rsidP="00CD3655">
            <w:pPr>
              <w:spacing w:line="240" w:lineRule="auto"/>
              <w:jc w:val="center"/>
              <w:rPr>
                <w:lang w:eastAsia="en-AU"/>
              </w:rPr>
            </w:pPr>
            <w:r w:rsidRPr="00852951">
              <w:rPr>
                <w:lang w:eastAsia="en-AU"/>
              </w:rPr>
              <w:t>0</w:t>
            </w:r>
          </w:p>
        </w:tc>
        <w:tc>
          <w:tcPr>
            <w:tcW w:w="455" w:type="pct"/>
            <w:noWrap/>
            <w:tcMar>
              <w:top w:w="0" w:type="dxa"/>
              <w:left w:w="108" w:type="dxa"/>
              <w:bottom w:w="0" w:type="dxa"/>
              <w:right w:w="108" w:type="dxa"/>
            </w:tcMar>
            <w:vAlign w:val="bottom"/>
            <w:hideMark/>
          </w:tcPr>
          <w:p w14:paraId="3D03E630" w14:textId="77777777" w:rsidR="00351ECA" w:rsidRPr="00852951" w:rsidRDefault="00351ECA" w:rsidP="00CD3655">
            <w:pPr>
              <w:spacing w:line="240" w:lineRule="auto"/>
              <w:jc w:val="center"/>
              <w:rPr>
                <w:lang w:eastAsia="en-AU"/>
              </w:rPr>
            </w:pPr>
            <w:r>
              <w:rPr>
                <w:lang w:eastAsia="en-AU"/>
              </w:rPr>
              <w:t>1</w:t>
            </w:r>
          </w:p>
        </w:tc>
      </w:tr>
      <w:tr w:rsidR="00351ECA" w14:paraId="095A79EA" w14:textId="77777777" w:rsidTr="00597822">
        <w:trPr>
          <w:trHeight w:val="237"/>
        </w:trPr>
        <w:tc>
          <w:tcPr>
            <w:tcW w:w="1871" w:type="pct"/>
            <w:tcBorders>
              <w:top w:val="nil"/>
              <w:left w:val="nil"/>
              <w:bottom w:val="single" w:sz="8" w:space="0" w:color="F79646"/>
              <w:right w:val="nil"/>
            </w:tcBorders>
            <w:shd w:val="clear" w:color="auto" w:fill="FABF8F"/>
            <w:noWrap/>
            <w:tcMar>
              <w:top w:w="0" w:type="dxa"/>
              <w:left w:w="108" w:type="dxa"/>
              <w:bottom w:w="0" w:type="dxa"/>
              <w:right w:w="108" w:type="dxa"/>
            </w:tcMar>
            <w:vAlign w:val="bottom"/>
            <w:hideMark/>
          </w:tcPr>
          <w:p w14:paraId="4B6986C9" w14:textId="77777777" w:rsidR="00351ECA" w:rsidRDefault="00351ECA" w:rsidP="00CD3655">
            <w:pPr>
              <w:spacing w:line="240" w:lineRule="auto"/>
              <w:rPr>
                <w:b/>
                <w:bCs/>
                <w:color w:val="FFFFFF"/>
                <w:lang w:eastAsia="en-AU"/>
              </w:rPr>
            </w:pPr>
            <w:r>
              <w:rPr>
                <w:b/>
                <w:bCs/>
                <w:color w:val="FFFFFF"/>
                <w:lang w:eastAsia="en-AU"/>
              </w:rPr>
              <w:t>Total</w:t>
            </w:r>
          </w:p>
        </w:tc>
        <w:tc>
          <w:tcPr>
            <w:tcW w:w="487" w:type="pct"/>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2A64BA91" w14:textId="77777777" w:rsidR="00351ECA" w:rsidRPr="00852951" w:rsidRDefault="00351ECA" w:rsidP="00CD3655">
            <w:pPr>
              <w:spacing w:line="240" w:lineRule="auto"/>
              <w:jc w:val="center"/>
              <w:rPr>
                <w:lang w:eastAsia="en-AU"/>
              </w:rPr>
            </w:pPr>
            <w:r>
              <w:rPr>
                <w:lang w:eastAsia="en-AU"/>
              </w:rPr>
              <w:t>291</w:t>
            </w:r>
          </w:p>
        </w:tc>
        <w:tc>
          <w:tcPr>
            <w:tcW w:w="398" w:type="pct"/>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75561594" w14:textId="77777777" w:rsidR="00351ECA" w:rsidRPr="00852951" w:rsidRDefault="00351ECA" w:rsidP="00CD3655">
            <w:pPr>
              <w:spacing w:line="240" w:lineRule="auto"/>
              <w:jc w:val="center"/>
              <w:rPr>
                <w:lang w:eastAsia="en-AU"/>
              </w:rPr>
            </w:pPr>
            <w:r>
              <w:rPr>
                <w:lang w:eastAsia="en-AU"/>
              </w:rPr>
              <w:t>13</w:t>
            </w:r>
          </w:p>
        </w:tc>
        <w:tc>
          <w:tcPr>
            <w:tcW w:w="312" w:type="pct"/>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0286C4DB" w14:textId="77777777" w:rsidR="00351ECA" w:rsidRPr="00852951" w:rsidRDefault="00351ECA" w:rsidP="00CD3655">
            <w:pPr>
              <w:spacing w:line="240" w:lineRule="auto"/>
              <w:jc w:val="center"/>
              <w:rPr>
                <w:lang w:eastAsia="en-AU"/>
              </w:rPr>
            </w:pPr>
            <w:r>
              <w:rPr>
                <w:lang w:eastAsia="en-AU"/>
              </w:rPr>
              <w:t>9</w:t>
            </w:r>
          </w:p>
        </w:tc>
        <w:tc>
          <w:tcPr>
            <w:tcW w:w="366" w:type="pct"/>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073AC33A" w14:textId="77777777" w:rsidR="00351ECA" w:rsidRPr="00852951" w:rsidRDefault="00351ECA" w:rsidP="00CD3655">
            <w:pPr>
              <w:spacing w:line="240" w:lineRule="auto"/>
              <w:jc w:val="center"/>
              <w:rPr>
                <w:lang w:eastAsia="en-AU"/>
              </w:rPr>
            </w:pPr>
            <w:r w:rsidRPr="00852951">
              <w:rPr>
                <w:lang w:eastAsia="en-AU"/>
              </w:rPr>
              <w:t>43</w:t>
            </w:r>
          </w:p>
        </w:tc>
        <w:tc>
          <w:tcPr>
            <w:tcW w:w="391" w:type="pct"/>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74604E5A" w14:textId="77777777" w:rsidR="00351ECA" w:rsidRPr="00852951" w:rsidRDefault="00351ECA" w:rsidP="00CD3655">
            <w:pPr>
              <w:spacing w:line="240" w:lineRule="auto"/>
              <w:jc w:val="center"/>
              <w:rPr>
                <w:lang w:eastAsia="en-AU"/>
              </w:rPr>
            </w:pPr>
            <w:r>
              <w:rPr>
                <w:lang w:eastAsia="en-AU"/>
              </w:rPr>
              <w:t>12</w:t>
            </w:r>
          </w:p>
        </w:tc>
        <w:tc>
          <w:tcPr>
            <w:tcW w:w="391" w:type="pct"/>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2DAAD211" w14:textId="77777777" w:rsidR="00351ECA" w:rsidRPr="00852951" w:rsidRDefault="00351ECA" w:rsidP="00CD3655">
            <w:pPr>
              <w:spacing w:line="240" w:lineRule="auto"/>
              <w:jc w:val="center"/>
              <w:rPr>
                <w:lang w:eastAsia="en-AU"/>
              </w:rPr>
            </w:pPr>
            <w:r>
              <w:rPr>
                <w:lang w:eastAsia="en-AU"/>
              </w:rPr>
              <w:t>0</w:t>
            </w:r>
          </w:p>
        </w:tc>
        <w:tc>
          <w:tcPr>
            <w:tcW w:w="328" w:type="pct"/>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0D4998CA" w14:textId="77777777" w:rsidR="00351ECA" w:rsidRPr="00852951" w:rsidRDefault="00351ECA" w:rsidP="00CD3655">
            <w:pPr>
              <w:spacing w:line="240" w:lineRule="auto"/>
              <w:jc w:val="center"/>
              <w:rPr>
                <w:lang w:eastAsia="en-AU"/>
              </w:rPr>
            </w:pPr>
            <w:r>
              <w:rPr>
                <w:lang w:eastAsia="en-AU"/>
              </w:rPr>
              <w:t>0</w:t>
            </w:r>
          </w:p>
        </w:tc>
        <w:tc>
          <w:tcPr>
            <w:tcW w:w="455" w:type="pct"/>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5B774337" w14:textId="77777777" w:rsidR="00351ECA" w:rsidRPr="00852951" w:rsidRDefault="00351ECA" w:rsidP="00CD3655">
            <w:pPr>
              <w:spacing w:line="240" w:lineRule="auto"/>
              <w:jc w:val="center"/>
              <w:rPr>
                <w:lang w:eastAsia="en-AU"/>
              </w:rPr>
            </w:pPr>
            <w:r>
              <w:rPr>
                <w:lang w:eastAsia="en-AU"/>
              </w:rPr>
              <w:t>3</w:t>
            </w:r>
          </w:p>
        </w:tc>
      </w:tr>
    </w:tbl>
    <w:p w14:paraId="21F91609" w14:textId="4FB83B3B" w:rsidR="00597822" w:rsidRDefault="00597822" w:rsidP="004300B9">
      <w:pPr>
        <w:pStyle w:val="BodyText"/>
        <w:tabs>
          <w:tab w:val="left" w:pos="6379"/>
        </w:tabs>
        <w:spacing w:before="114" w:line="252" w:lineRule="auto"/>
        <w:ind w:left="0" w:right="95"/>
        <w:rPr>
          <w:color w:val="58595B"/>
          <w:spacing w:val="-4"/>
        </w:rPr>
      </w:pPr>
      <w:bookmarkStart w:id="9" w:name="_Toc453069551"/>
      <w:bookmarkEnd w:id="8"/>
      <w:r w:rsidRPr="00946AF2">
        <w:rPr>
          <w:rFonts w:asciiTheme="minorHAnsi" w:eastAsiaTheme="minorHAnsi" w:hAnsiTheme="minorHAnsi" w:cs="Arial"/>
          <w:sz w:val="22"/>
          <w:szCs w:val="22"/>
          <w:lang w:val="en-AU"/>
        </w:rPr>
        <w:t xml:space="preserve">In </w:t>
      </w:r>
      <w:r w:rsidR="001930DF">
        <w:rPr>
          <w:rFonts w:asciiTheme="minorHAnsi" w:eastAsiaTheme="minorHAnsi" w:hAnsiTheme="minorHAnsi" w:cs="Arial"/>
          <w:sz w:val="22"/>
          <w:szCs w:val="22"/>
          <w:lang w:val="en-AU"/>
        </w:rPr>
        <w:t>2016-17</w:t>
      </w:r>
      <w:r w:rsidRPr="00946AF2">
        <w:rPr>
          <w:rFonts w:asciiTheme="minorHAnsi" w:eastAsiaTheme="minorHAnsi" w:hAnsiTheme="minorHAnsi" w:cs="Arial"/>
          <w:sz w:val="22"/>
          <w:szCs w:val="22"/>
          <w:lang w:val="en-AU"/>
        </w:rPr>
        <w:t xml:space="preserve">, 619 items relating to new wells and 320 items </w:t>
      </w:r>
      <w:r w:rsidR="00160B81">
        <w:rPr>
          <w:rFonts w:asciiTheme="minorHAnsi" w:eastAsiaTheme="minorHAnsi" w:hAnsiTheme="minorHAnsi" w:cs="Arial"/>
          <w:sz w:val="22"/>
          <w:szCs w:val="22"/>
          <w:lang w:val="en-AU"/>
        </w:rPr>
        <w:t>relating to</w:t>
      </w:r>
      <w:r w:rsidRPr="00946AF2">
        <w:rPr>
          <w:rFonts w:asciiTheme="minorHAnsi" w:eastAsiaTheme="minorHAnsi" w:hAnsiTheme="minorHAnsi" w:cs="Arial"/>
          <w:sz w:val="22"/>
          <w:szCs w:val="22"/>
          <w:lang w:val="en-AU"/>
        </w:rPr>
        <w:t xml:space="preserve"> new and reprocessed surveys</w:t>
      </w:r>
      <w:r w:rsidR="00160B81">
        <w:rPr>
          <w:rFonts w:asciiTheme="minorHAnsi" w:eastAsiaTheme="minorHAnsi" w:hAnsiTheme="minorHAnsi" w:cs="Arial"/>
          <w:sz w:val="22"/>
          <w:szCs w:val="22"/>
          <w:lang w:val="en-AU"/>
        </w:rPr>
        <w:t xml:space="preserve"> were submitted to NOPTA</w:t>
      </w:r>
      <w:r w:rsidRPr="00946AF2">
        <w:rPr>
          <w:rFonts w:asciiTheme="minorHAnsi" w:eastAsiaTheme="minorHAnsi" w:hAnsiTheme="minorHAnsi" w:cs="Arial"/>
          <w:sz w:val="22"/>
          <w:szCs w:val="22"/>
          <w:lang w:val="en-AU"/>
        </w:rPr>
        <w:t xml:space="preserve">. </w:t>
      </w:r>
      <w:r w:rsidR="001810C4">
        <w:rPr>
          <w:rFonts w:asciiTheme="minorHAnsi" w:eastAsiaTheme="minorHAnsi" w:hAnsiTheme="minorHAnsi" w:cs="Arial"/>
          <w:sz w:val="22"/>
          <w:szCs w:val="22"/>
          <w:lang w:val="en-AU"/>
        </w:rPr>
        <w:t xml:space="preserve"> </w:t>
      </w:r>
      <w:r w:rsidR="00EE4636">
        <w:rPr>
          <w:rFonts w:asciiTheme="minorHAnsi" w:eastAsiaTheme="minorHAnsi" w:hAnsiTheme="minorHAnsi" w:cs="Arial"/>
          <w:sz w:val="22"/>
          <w:szCs w:val="22"/>
          <w:lang w:val="en-AU"/>
        </w:rPr>
        <w:t>Public release included d</w:t>
      </w:r>
      <w:r w:rsidRPr="00946AF2">
        <w:rPr>
          <w:rFonts w:asciiTheme="minorHAnsi" w:eastAsiaTheme="minorHAnsi" w:hAnsiTheme="minorHAnsi" w:cs="Arial"/>
          <w:sz w:val="22"/>
          <w:szCs w:val="22"/>
          <w:lang w:val="en-AU"/>
        </w:rPr>
        <w:t>ata from 160 well activities and 143</w:t>
      </w:r>
      <w:r w:rsidR="004300B9">
        <w:rPr>
          <w:rFonts w:asciiTheme="minorHAnsi" w:eastAsiaTheme="minorHAnsi" w:hAnsiTheme="minorHAnsi" w:cs="Arial"/>
          <w:sz w:val="22"/>
          <w:szCs w:val="22"/>
          <w:lang w:val="en-AU"/>
        </w:rPr>
        <w:t> </w:t>
      </w:r>
      <w:r w:rsidRPr="00946AF2">
        <w:rPr>
          <w:rFonts w:asciiTheme="minorHAnsi" w:eastAsiaTheme="minorHAnsi" w:hAnsiTheme="minorHAnsi" w:cs="Arial"/>
          <w:sz w:val="22"/>
          <w:szCs w:val="22"/>
          <w:lang w:val="en-AU"/>
        </w:rPr>
        <w:t>surveys (including reprocessed</w:t>
      </w:r>
      <w:r>
        <w:rPr>
          <w:color w:val="58595B"/>
          <w:spacing w:val="-4"/>
        </w:rPr>
        <w:t xml:space="preserve"> </w:t>
      </w:r>
      <w:r w:rsidRPr="00946AF2">
        <w:rPr>
          <w:rFonts w:asciiTheme="minorHAnsi" w:eastAsiaTheme="minorHAnsi" w:hAnsiTheme="minorHAnsi" w:cs="Arial"/>
          <w:sz w:val="22"/>
          <w:szCs w:val="22"/>
          <w:lang w:val="en-AU"/>
        </w:rPr>
        <w:t>surveys)</w:t>
      </w:r>
      <w:r w:rsidR="001930DF">
        <w:rPr>
          <w:rFonts w:asciiTheme="minorHAnsi" w:eastAsiaTheme="minorHAnsi" w:hAnsiTheme="minorHAnsi" w:cs="Arial"/>
          <w:sz w:val="22"/>
          <w:szCs w:val="22"/>
          <w:lang w:val="en-AU"/>
        </w:rPr>
        <w:t xml:space="preserve">. </w:t>
      </w:r>
    </w:p>
    <w:p w14:paraId="6D4801C3" w14:textId="0CA49BC9" w:rsidR="009A6428" w:rsidRDefault="009A6428" w:rsidP="00597822">
      <w:pPr>
        <w:pStyle w:val="BodyText"/>
        <w:tabs>
          <w:tab w:val="left" w:pos="6379"/>
        </w:tabs>
        <w:spacing w:before="114" w:line="252" w:lineRule="auto"/>
        <w:ind w:left="0" w:right="1030"/>
        <w:rPr>
          <w:b/>
        </w:rPr>
      </w:pPr>
    </w:p>
    <w:p w14:paraId="7B09D192" w14:textId="70E14538" w:rsidR="00351ECA" w:rsidRDefault="007A2C1C" w:rsidP="00C2002B">
      <w:pPr>
        <w:pStyle w:val="Heading1"/>
      </w:pPr>
      <w:bookmarkStart w:id="10" w:name="_Toc497215466"/>
      <w:r>
        <w:rPr>
          <w:b/>
        </w:rPr>
        <w:lastRenderedPageBreak/>
        <w:t>Governance</w:t>
      </w:r>
      <w:bookmarkEnd w:id="10"/>
      <w:r>
        <w:rPr>
          <w:b/>
        </w:rPr>
        <w:t xml:space="preserve"> </w:t>
      </w:r>
    </w:p>
    <w:p w14:paraId="42B9D3C9" w14:textId="055B1E13" w:rsidR="00351ECA" w:rsidRDefault="00013023" w:rsidP="00351ECA">
      <w:pPr>
        <w:spacing w:line="240" w:lineRule="auto"/>
      </w:pPr>
      <w:r>
        <w:t>The Australian G</w:t>
      </w:r>
      <w:r w:rsidR="00351ECA">
        <w:t>overnment has r</w:t>
      </w:r>
      <w:r w:rsidR="00351ECA" w:rsidRPr="0055095D">
        <w:t>esponsibility for Australia’s offshore areas beyond three nautical miles from the territorial sea baseline.</w:t>
      </w:r>
      <w:r w:rsidR="00351ECA">
        <w:rPr>
          <w:rStyle w:val="FootnoteReference"/>
        </w:rPr>
        <w:footnoteReference w:id="2"/>
      </w:r>
      <w:r w:rsidR="00351ECA">
        <w:t xml:space="preserve">  </w:t>
      </w:r>
    </w:p>
    <w:p w14:paraId="3ED724CA" w14:textId="5F058BC6" w:rsidR="009A6428" w:rsidRDefault="00351ECA" w:rsidP="00351ECA">
      <w:pPr>
        <w:spacing w:line="240" w:lineRule="auto"/>
      </w:pPr>
      <w:r>
        <w:t xml:space="preserve">The </w:t>
      </w:r>
      <w:r>
        <w:rPr>
          <w:i/>
        </w:rPr>
        <w:t xml:space="preserve">Offshore Petroleum and Greenhouse Gas Storage Act </w:t>
      </w:r>
      <w:r w:rsidRPr="004339BF">
        <w:rPr>
          <w:i/>
        </w:rPr>
        <w:t>20</w:t>
      </w:r>
      <w:r>
        <w:rPr>
          <w:i/>
        </w:rPr>
        <w:t xml:space="preserve">06 </w:t>
      </w:r>
      <w:r w:rsidRPr="0055095D">
        <w:t>(</w:t>
      </w:r>
      <w:r w:rsidRPr="004339BF">
        <w:t>OPGGS Act)</w:t>
      </w:r>
      <w:r>
        <w:t xml:space="preserve"> provides the legal framework for the exploration and recovery of petroleum and for injection and storage of the greenhouse gas substances in offshore areas.  It establishes: the Offshore Petroleum Joint Authorities (the Joint Authorities) for each offshore area; NOPTA; and </w:t>
      </w:r>
      <w:r w:rsidRPr="00D358A1">
        <w:rPr>
          <w:lang w:val="en"/>
        </w:rPr>
        <w:t xml:space="preserve">the </w:t>
      </w:r>
      <w:r w:rsidR="00672577" w:rsidRPr="00672577">
        <w:rPr>
          <w:lang w:val="en"/>
        </w:rPr>
        <w:t xml:space="preserve">National Offshore Petroleum Safety and Environment Management Authority </w:t>
      </w:r>
      <w:r w:rsidR="00672577">
        <w:rPr>
          <w:lang w:val="en"/>
        </w:rPr>
        <w:t>(</w:t>
      </w:r>
      <w:r w:rsidRPr="00D358A1">
        <w:rPr>
          <w:lang w:val="en"/>
        </w:rPr>
        <w:t>NOPSEMA</w:t>
      </w:r>
      <w:r w:rsidR="00672577">
        <w:rPr>
          <w:lang w:val="en"/>
        </w:rPr>
        <w:t>)</w:t>
      </w:r>
      <w:r>
        <w:rPr>
          <w:rStyle w:val="FootnoteReference"/>
          <w:lang w:val="en"/>
        </w:rPr>
        <w:footnoteReference w:id="3"/>
      </w:r>
      <w:r>
        <w:t xml:space="preserve">. </w:t>
      </w:r>
    </w:p>
    <w:p w14:paraId="51CAC32F" w14:textId="7E229D4E" w:rsidR="009A6428" w:rsidRDefault="009A6428" w:rsidP="009A6428">
      <w:pPr>
        <w:spacing w:line="240" w:lineRule="auto"/>
      </w:pPr>
      <w:r w:rsidRPr="00B7362B">
        <w:rPr>
          <w:lang w:val="en"/>
        </w:rPr>
        <w:t xml:space="preserve">The </w:t>
      </w:r>
      <w:hyperlink r:id="rId15" w:tooltip="NOPTA website: JA protocol" w:history="1">
        <w:r w:rsidRPr="00B7362B">
          <w:rPr>
            <w:rStyle w:val="Hyperlink"/>
            <w:lang w:val="en"/>
          </w:rPr>
          <w:t>‘Operating Protocols for Offshore Petroleum Joint Authorities and supporting institutions’ (Joint Authority Protocol)</w:t>
        </w:r>
      </w:hyperlink>
      <w:r w:rsidRPr="00B7362B">
        <w:rPr>
          <w:lang w:val="en"/>
        </w:rPr>
        <w:t xml:space="preserve"> provides a high level framework and clarifies the roles and functions of the Joint Authorit</w:t>
      </w:r>
      <w:r w:rsidR="00013023">
        <w:rPr>
          <w:lang w:val="en"/>
        </w:rPr>
        <w:t>ies</w:t>
      </w:r>
      <w:r w:rsidRPr="00B7362B">
        <w:rPr>
          <w:lang w:val="en"/>
        </w:rPr>
        <w:t xml:space="preserve">, NOPTA, NOPSEMA and other stakeholders. The Joint Authority Protocol includes indicative timeframes for the </w:t>
      </w:r>
      <w:r w:rsidR="00013023">
        <w:rPr>
          <w:lang w:val="en"/>
        </w:rPr>
        <w:t xml:space="preserve">decision-making and </w:t>
      </w:r>
      <w:r w:rsidRPr="00B7362B">
        <w:rPr>
          <w:lang w:val="en"/>
        </w:rPr>
        <w:t xml:space="preserve">processing </w:t>
      </w:r>
      <w:r w:rsidR="00013023">
        <w:rPr>
          <w:lang w:val="en"/>
        </w:rPr>
        <w:t xml:space="preserve">timeframes </w:t>
      </w:r>
      <w:r w:rsidRPr="00B7362B">
        <w:rPr>
          <w:lang w:val="en"/>
        </w:rPr>
        <w:t>of applications.</w:t>
      </w:r>
    </w:p>
    <w:p w14:paraId="6DFEA8B3" w14:textId="6A86C47A" w:rsidR="00351ECA" w:rsidRDefault="00013023" w:rsidP="00351ECA">
      <w:pPr>
        <w:spacing w:line="240" w:lineRule="auto"/>
      </w:pPr>
      <w:r>
        <w:t>T</w:t>
      </w:r>
      <w:r w:rsidR="00351ECA">
        <w:t>he responsible Commonwealth Minister and the State or Territory Minister for that jurisdiction</w:t>
      </w:r>
      <w:r>
        <w:t xml:space="preserve"> constitutes the Joint Authority</w:t>
      </w:r>
      <w:r w:rsidR="00351ECA">
        <w:t xml:space="preserve">. </w:t>
      </w:r>
    </w:p>
    <w:p w14:paraId="7D52E5A0" w14:textId="5BDB5F18" w:rsidR="009A6428" w:rsidRDefault="009A6428" w:rsidP="009A6428">
      <w:pPr>
        <w:spacing w:line="240" w:lineRule="auto"/>
      </w:pPr>
      <w:r w:rsidRPr="00B7362B">
        <w:rPr>
          <w:lang w:val="en"/>
        </w:rPr>
        <w:t>NOPSEMA is Australia's independent expert regulator for health and safety, environmental management, structural and well integrity for offshore petroleum facilities and activities in Commonwealth waters.</w:t>
      </w:r>
    </w:p>
    <w:p w14:paraId="4F863F71" w14:textId="77777777" w:rsidR="009A6428" w:rsidRPr="00852951" w:rsidRDefault="009A6428" w:rsidP="009A6428">
      <w:pPr>
        <w:pStyle w:val="Heading1"/>
        <w:rPr>
          <w:b/>
        </w:rPr>
      </w:pPr>
      <w:bookmarkStart w:id="11" w:name="_Toc497215467"/>
      <w:r w:rsidRPr="00852951">
        <w:rPr>
          <w:b/>
        </w:rPr>
        <w:t>About NOPTA</w:t>
      </w:r>
      <w:bookmarkEnd w:id="11"/>
    </w:p>
    <w:p w14:paraId="5D9ABD55" w14:textId="71C96DDD" w:rsidR="00351ECA" w:rsidRDefault="00351ECA" w:rsidP="00351ECA">
      <w:pPr>
        <w:spacing w:line="240" w:lineRule="auto"/>
      </w:pPr>
      <w:r>
        <w:rPr>
          <w:lang w:val="en"/>
        </w:rPr>
        <w:t xml:space="preserve">NOPTA, also known as the Titles Administrator, is appointed by the Secretary under section 695A of the OPGGS Act. </w:t>
      </w:r>
      <w:r w:rsidR="001810C4">
        <w:rPr>
          <w:lang w:val="en"/>
        </w:rPr>
        <w:t xml:space="preserve"> </w:t>
      </w:r>
      <w:r>
        <w:rPr>
          <w:lang w:val="en"/>
        </w:rPr>
        <w:t xml:space="preserve">The Titles Administrator is an SES employee </w:t>
      </w:r>
      <w:r w:rsidR="002205A9">
        <w:rPr>
          <w:lang w:val="en"/>
        </w:rPr>
        <w:t xml:space="preserve">in the </w:t>
      </w:r>
      <w:hyperlink r:id="rId16" w:tooltip="Department of Industry, Innovation and Science website" w:history="1">
        <w:r w:rsidR="002205A9" w:rsidRPr="00013023">
          <w:rPr>
            <w:rStyle w:val="Hyperlink"/>
            <w:lang w:val="en"/>
          </w:rPr>
          <w:t>department</w:t>
        </w:r>
      </w:hyperlink>
      <w:r w:rsidR="002205A9">
        <w:rPr>
          <w:color w:val="0000FF"/>
          <w:u w:val="single"/>
          <w:lang w:val="en"/>
        </w:rPr>
        <w:t xml:space="preserve"> </w:t>
      </w:r>
      <w:r w:rsidR="00013023">
        <w:rPr>
          <w:lang w:val="en"/>
        </w:rPr>
        <w:t>supported by</w:t>
      </w:r>
      <w:r w:rsidR="002205A9">
        <w:rPr>
          <w:lang w:val="en"/>
        </w:rPr>
        <w:t xml:space="preserve"> departmental </w:t>
      </w:r>
      <w:r w:rsidR="00013023">
        <w:rPr>
          <w:lang w:val="en"/>
        </w:rPr>
        <w:t>staff</w:t>
      </w:r>
      <w:r w:rsidRPr="00523499">
        <w:rPr>
          <w:lang w:val="en"/>
        </w:rPr>
        <w:t>.</w:t>
      </w:r>
      <w:r w:rsidR="00013023">
        <w:rPr>
          <w:lang w:val="en"/>
        </w:rPr>
        <w:t xml:space="preserve">  </w:t>
      </w:r>
    </w:p>
    <w:p w14:paraId="145E4BB6" w14:textId="69C52750" w:rsidR="00351ECA" w:rsidRPr="00B01C27" w:rsidRDefault="00225A51" w:rsidP="00351ECA">
      <w:pPr>
        <w:spacing w:after="120" w:line="240" w:lineRule="auto"/>
      </w:pPr>
      <w:r>
        <w:rPr>
          <w:lang w:val="en"/>
        </w:rPr>
        <w:t>Our</w:t>
      </w:r>
      <w:r w:rsidRPr="009D43EC">
        <w:rPr>
          <w:lang w:val="en"/>
        </w:rPr>
        <w:t xml:space="preserve"> </w:t>
      </w:r>
      <w:r w:rsidR="00351ECA" w:rsidRPr="009D43EC">
        <w:rPr>
          <w:lang w:val="en"/>
        </w:rPr>
        <w:t>key functions are to:</w:t>
      </w:r>
    </w:p>
    <w:p w14:paraId="008B32D4" w14:textId="77777777" w:rsidR="00351ECA" w:rsidRPr="009D43EC" w:rsidRDefault="00351ECA" w:rsidP="00351ECA">
      <w:pPr>
        <w:numPr>
          <w:ilvl w:val="0"/>
          <w:numId w:val="1"/>
        </w:numPr>
        <w:spacing w:after="120" w:line="240" w:lineRule="auto"/>
        <w:rPr>
          <w:lang w:val="en"/>
        </w:rPr>
      </w:pPr>
      <w:r w:rsidRPr="009D43EC">
        <w:rPr>
          <w:lang w:val="en"/>
        </w:rPr>
        <w:t>provide information, assessments, analysis, reports, advice and recommendations to members of the Joint Authorities and the 'responsible Commonwealth Minister' in relation to the performance of those ministers' functions and the exercise of their powers</w:t>
      </w:r>
      <w:r>
        <w:rPr>
          <w:lang w:val="en"/>
        </w:rPr>
        <w:t>;</w:t>
      </w:r>
    </w:p>
    <w:p w14:paraId="77299AD8" w14:textId="77777777" w:rsidR="00351ECA" w:rsidRPr="009D43EC" w:rsidRDefault="00351ECA" w:rsidP="00351ECA">
      <w:pPr>
        <w:numPr>
          <w:ilvl w:val="0"/>
          <w:numId w:val="1"/>
        </w:numPr>
        <w:spacing w:after="120" w:line="240" w:lineRule="auto"/>
        <w:rPr>
          <w:lang w:val="en"/>
        </w:rPr>
      </w:pPr>
      <w:r w:rsidRPr="009D43EC">
        <w:rPr>
          <w:lang w:val="en"/>
        </w:rPr>
        <w:t>facilitate life of title administration, including but not limited to Joint Authority consideration of changes to permit conditions associated with offshore petroleum titles</w:t>
      </w:r>
      <w:r>
        <w:rPr>
          <w:lang w:val="en"/>
        </w:rPr>
        <w:t>;</w:t>
      </w:r>
    </w:p>
    <w:p w14:paraId="12265AA4" w14:textId="77777777" w:rsidR="00351ECA" w:rsidRPr="009D43EC" w:rsidRDefault="00351ECA" w:rsidP="00351ECA">
      <w:pPr>
        <w:numPr>
          <w:ilvl w:val="0"/>
          <w:numId w:val="1"/>
        </w:numPr>
        <w:spacing w:after="120" w:line="240" w:lineRule="auto"/>
        <w:rPr>
          <w:lang w:val="en"/>
        </w:rPr>
      </w:pPr>
      <w:r w:rsidRPr="009D43EC">
        <w:rPr>
          <w:lang w:val="en"/>
        </w:rPr>
        <w:t>manage the collection, management and release of data</w:t>
      </w:r>
      <w:r>
        <w:rPr>
          <w:lang w:val="en"/>
        </w:rPr>
        <w:t>; and</w:t>
      </w:r>
    </w:p>
    <w:p w14:paraId="6470027E" w14:textId="77777777" w:rsidR="00351ECA" w:rsidRPr="000E48F3" w:rsidRDefault="00351ECA" w:rsidP="00351ECA">
      <w:pPr>
        <w:numPr>
          <w:ilvl w:val="0"/>
          <w:numId w:val="1"/>
        </w:numPr>
        <w:spacing w:after="120" w:line="240" w:lineRule="auto"/>
        <w:rPr>
          <w:lang w:val="en"/>
        </w:rPr>
      </w:pPr>
      <w:proofErr w:type="gramStart"/>
      <w:r>
        <w:rPr>
          <w:lang w:val="en"/>
        </w:rPr>
        <w:t>keep</w:t>
      </w:r>
      <w:proofErr w:type="gramEnd"/>
      <w:r w:rsidRPr="009D43EC">
        <w:rPr>
          <w:lang w:val="en"/>
        </w:rPr>
        <w:t xml:space="preserve"> the registers of petroleum and greenhouse gas storage titles.</w:t>
      </w:r>
      <w:r w:rsidRPr="000E48F3">
        <w:rPr>
          <w:lang w:val="en"/>
        </w:rPr>
        <w:t xml:space="preserve"> </w:t>
      </w:r>
    </w:p>
    <w:p w14:paraId="0BC4BD2E" w14:textId="017848FA" w:rsidR="00351ECA" w:rsidRDefault="00225A51" w:rsidP="00351ECA">
      <w:pPr>
        <w:spacing w:line="240" w:lineRule="auto"/>
      </w:pPr>
      <w:r>
        <w:t xml:space="preserve">We </w:t>
      </w:r>
      <w:r w:rsidR="009A6428">
        <w:t xml:space="preserve">recover all of </w:t>
      </w:r>
      <w:r>
        <w:t xml:space="preserve">our </w:t>
      </w:r>
      <w:r w:rsidR="009A6428">
        <w:t xml:space="preserve">operational costs from industry through application fees and annual </w:t>
      </w:r>
      <w:r w:rsidR="00013023">
        <w:t xml:space="preserve">title </w:t>
      </w:r>
      <w:r w:rsidR="009A6428">
        <w:t>levies.</w:t>
      </w:r>
    </w:p>
    <w:p w14:paraId="159A4E14" w14:textId="77777777" w:rsidR="00351ECA" w:rsidRDefault="00351ECA" w:rsidP="00351ECA">
      <w:pPr>
        <w:spacing w:line="240" w:lineRule="auto"/>
        <w:rPr>
          <w:rFonts w:asciiTheme="majorHAnsi" w:eastAsiaTheme="majorEastAsia" w:hAnsiTheme="majorHAnsi" w:cstheme="majorBidi"/>
          <w:color w:val="2E74B5" w:themeColor="accent1" w:themeShade="BF"/>
          <w:sz w:val="26"/>
          <w:szCs w:val="26"/>
        </w:rPr>
      </w:pPr>
      <w:r>
        <w:br w:type="page"/>
      </w:r>
    </w:p>
    <w:p w14:paraId="5BB209DD" w14:textId="77777777" w:rsidR="00351ECA" w:rsidRPr="00063491" w:rsidRDefault="00351ECA" w:rsidP="00351ECA">
      <w:pPr>
        <w:pStyle w:val="Heading2"/>
        <w:spacing w:line="240" w:lineRule="auto"/>
        <w:rPr>
          <w:b/>
        </w:rPr>
      </w:pPr>
      <w:bookmarkStart w:id="12" w:name="_Toc453069556"/>
      <w:bookmarkStart w:id="13" w:name="_Toc497215468"/>
      <w:bookmarkEnd w:id="9"/>
      <w:r>
        <w:rPr>
          <w:b/>
        </w:rPr>
        <w:lastRenderedPageBreak/>
        <w:t>KPI</w:t>
      </w:r>
      <w:r w:rsidRPr="008E31AF">
        <w:rPr>
          <w:b/>
        </w:rPr>
        <w:t xml:space="preserve"> 1</w:t>
      </w:r>
      <w:r>
        <w:rPr>
          <w:b/>
        </w:rPr>
        <w:t xml:space="preserve">: </w:t>
      </w:r>
      <w:r w:rsidRPr="00B318F2">
        <w:rPr>
          <w:b/>
        </w:rPr>
        <w:t>Regulators do not unnecessarily impede the efficient operation of regulated entities</w:t>
      </w:r>
      <w:bookmarkEnd w:id="12"/>
      <w:bookmarkEnd w:id="13"/>
    </w:p>
    <w:p w14:paraId="583150C1" w14:textId="77777777" w:rsidR="00351ECA" w:rsidRPr="000D3731" w:rsidRDefault="00351ECA" w:rsidP="000D3731">
      <w:pPr>
        <w:pStyle w:val="Heading3"/>
      </w:pPr>
      <w:bookmarkStart w:id="14" w:name="_Toc497215469"/>
      <w:bookmarkStart w:id="15" w:name="_Toc453069557"/>
      <w:r w:rsidRPr="000D3731">
        <w:t>KPI Expectations</w:t>
      </w:r>
      <w:bookmarkEnd w:id="14"/>
    </w:p>
    <w:p w14:paraId="76F3E469" w14:textId="77777777" w:rsidR="00351ECA" w:rsidRPr="00B318F2" w:rsidRDefault="00351ECA" w:rsidP="00351ECA">
      <w:pPr>
        <w:spacing w:line="240" w:lineRule="auto"/>
      </w:pPr>
      <w:r>
        <w:t xml:space="preserve">Regulators should always consider the legislative and authorising environment and seek to minimise the potential negative impact of regulatory activity where appropriate.  Regulators avoid imposing unnecessary costs in the design and review of policies, procedures and practices.  </w:t>
      </w:r>
      <w:r w:rsidRPr="00764E8D">
        <w:t>This includes engaging with external organisations to learn and share experiences.</w:t>
      </w:r>
    </w:p>
    <w:p w14:paraId="058E8A5B" w14:textId="77777777" w:rsidR="00351ECA" w:rsidRDefault="00351ECA" w:rsidP="000D3731">
      <w:pPr>
        <w:pStyle w:val="Heading3"/>
      </w:pPr>
      <w:bookmarkStart w:id="16" w:name="_Toc497215470"/>
      <w:r>
        <w:t>NOPTA’s Approach</w:t>
      </w:r>
      <w:bookmarkEnd w:id="16"/>
      <w:r w:rsidRPr="00686DDC">
        <w:t xml:space="preserve"> </w:t>
      </w:r>
    </w:p>
    <w:p w14:paraId="485E826D" w14:textId="6BE85093" w:rsidR="00351ECA" w:rsidRDefault="00351ECA" w:rsidP="00351ECA">
      <w:pPr>
        <w:spacing w:line="240" w:lineRule="auto"/>
      </w:pPr>
      <w:r w:rsidRPr="00A37C75">
        <w:t xml:space="preserve">During the reporting </w:t>
      </w:r>
      <w:r w:rsidR="00817298" w:rsidRPr="00A37C75">
        <w:t>period,</w:t>
      </w:r>
      <w:r w:rsidRPr="00A37C75">
        <w:t xml:space="preserve"> </w:t>
      </w:r>
      <w:r w:rsidR="00225A51">
        <w:t>we</w:t>
      </w:r>
      <w:r w:rsidR="00225A51" w:rsidRPr="00A37C75">
        <w:t xml:space="preserve"> </w:t>
      </w:r>
      <w:r w:rsidRPr="00A37C75">
        <w:t xml:space="preserve">sought to </w:t>
      </w:r>
      <w:r w:rsidR="00667DA2">
        <w:t>relieve</w:t>
      </w:r>
      <w:r w:rsidR="00667DA2" w:rsidRPr="00A37C75">
        <w:t xml:space="preserve"> </w:t>
      </w:r>
      <w:r w:rsidRPr="00A37C75">
        <w:t xml:space="preserve">regulatory burden and improve the efficiency </w:t>
      </w:r>
      <w:r>
        <w:t xml:space="preserve">and transparency </w:t>
      </w:r>
      <w:r w:rsidRPr="00A37C75">
        <w:t xml:space="preserve">of </w:t>
      </w:r>
      <w:r w:rsidR="00566BCB">
        <w:t>our</w:t>
      </w:r>
      <w:r w:rsidRPr="00A37C75">
        <w:t xml:space="preserve"> administrative and advice functions.  This was achieved </w:t>
      </w:r>
      <w:r>
        <w:t>by</w:t>
      </w:r>
      <w:r w:rsidRPr="00A37C75">
        <w:t xml:space="preserve"> identifying </w:t>
      </w:r>
      <w:r>
        <w:t xml:space="preserve">improvements </w:t>
      </w:r>
      <w:r w:rsidRPr="00A37C75">
        <w:t xml:space="preserve">and engaging </w:t>
      </w:r>
      <w:r>
        <w:t xml:space="preserve">stakeholders to </w:t>
      </w:r>
      <w:r w:rsidRPr="00ED1F57">
        <w:t>action, for example</w:t>
      </w:r>
      <w:r>
        <w:t>, through</w:t>
      </w:r>
      <w:r w:rsidRPr="00ED1F57">
        <w:t xml:space="preserve"> developing templates and learning from our international counterparts.</w:t>
      </w:r>
      <w:r w:rsidRPr="00A37C75">
        <w:t xml:space="preserve">  </w:t>
      </w:r>
    </w:p>
    <w:p w14:paraId="6CBE605E" w14:textId="77777777" w:rsidR="00351ECA" w:rsidRDefault="00351ECA" w:rsidP="000D3731">
      <w:pPr>
        <w:pStyle w:val="Heading3"/>
      </w:pPr>
      <w:bookmarkStart w:id="17" w:name="_Toc497215471"/>
      <w:bookmarkEnd w:id="15"/>
      <w:r>
        <w:t>Results</w:t>
      </w:r>
      <w:bookmarkEnd w:id="17"/>
      <w:r>
        <w:t xml:space="preserve"> </w:t>
      </w:r>
    </w:p>
    <w:p w14:paraId="5E83EF02" w14:textId="06CACB06" w:rsidR="00351ECA"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bookmarkStart w:id="18" w:name="_Toc453069558"/>
      <w:r w:rsidRPr="00852951">
        <w:rPr>
          <w:rFonts w:asciiTheme="minorHAnsi" w:hAnsiTheme="minorHAnsi"/>
          <w:color w:val="auto"/>
          <w:sz w:val="22"/>
          <w:szCs w:val="22"/>
        </w:rPr>
        <w:t>A</w:t>
      </w:r>
      <w:r>
        <w:rPr>
          <w:rFonts w:asciiTheme="minorHAnsi" w:hAnsiTheme="minorHAnsi"/>
          <w:color w:val="auto"/>
          <w:sz w:val="22"/>
          <w:szCs w:val="22"/>
        </w:rPr>
        <w:t>ll survey respondents</w:t>
      </w:r>
      <w:r w:rsidR="00946AF2">
        <w:rPr>
          <w:rFonts w:asciiTheme="minorHAnsi" w:hAnsiTheme="minorHAnsi"/>
          <w:color w:val="auto"/>
          <w:sz w:val="22"/>
          <w:szCs w:val="22"/>
        </w:rPr>
        <w:t xml:space="preserve"> </w:t>
      </w:r>
      <w:r w:rsidR="00225A51">
        <w:rPr>
          <w:rFonts w:asciiTheme="minorHAnsi" w:hAnsiTheme="minorHAnsi"/>
          <w:color w:val="auto"/>
          <w:sz w:val="22"/>
          <w:szCs w:val="22"/>
        </w:rPr>
        <w:t>agreed that</w:t>
      </w:r>
      <w:r w:rsidR="00225A51" w:rsidRPr="00852951">
        <w:rPr>
          <w:rFonts w:asciiTheme="minorHAnsi" w:hAnsiTheme="minorHAnsi"/>
          <w:color w:val="auto"/>
          <w:sz w:val="22"/>
          <w:szCs w:val="22"/>
        </w:rPr>
        <w:t xml:space="preserve"> </w:t>
      </w:r>
      <w:r w:rsidRPr="00852951">
        <w:rPr>
          <w:rFonts w:asciiTheme="minorHAnsi" w:hAnsiTheme="minorHAnsi"/>
          <w:color w:val="auto"/>
          <w:sz w:val="22"/>
          <w:szCs w:val="22"/>
        </w:rPr>
        <w:t xml:space="preserve">NOPTA makes a valuable contribution to the process of managing Australia’s </w:t>
      </w:r>
      <w:r w:rsidR="00013023">
        <w:rPr>
          <w:rFonts w:asciiTheme="minorHAnsi" w:hAnsiTheme="minorHAnsi"/>
          <w:color w:val="auto"/>
          <w:sz w:val="22"/>
          <w:szCs w:val="22"/>
        </w:rPr>
        <w:t xml:space="preserve">offshore petroleum </w:t>
      </w:r>
      <w:r w:rsidRPr="00852951">
        <w:rPr>
          <w:rFonts w:asciiTheme="minorHAnsi" w:hAnsiTheme="minorHAnsi"/>
          <w:color w:val="auto"/>
          <w:sz w:val="22"/>
          <w:szCs w:val="22"/>
        </w:rPr>
        <w:t>resources</w:t>
      </w:r>
      <w:r>
        <w:rPr>
          <w:rFonts w:asciiTheme="minorHAnsi" w:hAnsiTheme="minorHAnsi"/>
          <w:color w:val="auto"/>
          <w:sz w:val="22"/>
          <w:szCs w:val="22"/>
        </w:rPr>
        <w:t>.</w:t>
      </w:r>
      <w:r w:rsidDel="00B77385">
        <w:rPr>
          <w:rFonts w:asciiTheme="minorHAnsi" w:hAnsiTheme="minorHAnsi"/>
          <w:color w:val="auto"/>
          <w:sz w:val="22"/>
          <w:szCs w:val="22"/>
        </w:rPr>
        <w:t xml:space="preserve"> </w:t>
      </w:r>
    </w:p>
    <w:p w14:paraId="0674F91F" w14:textId="1246A827" w:rsidR="00351ECA" w:rsidRPr="00C5356C"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Achieved 95 per cent satisfaction with the responsiveness of </w:t>
      </w:r>
      <w:r w:rsidR="00225A51">
        <w:rPr>
          <w:rFonts w:asciiTheme="minorHAnsi" w:hAnsiTheme="minorHAnsi"/>
          <w:color w:val="auto"/>
          <w:sz w:val="22"/>
          <w:szCs w:val="22"/>
        </w:rPr>
        <w:t xml:space="preserve">our </w:t>
      </w:r>
      <w:r>
        <w:rPr>
          <w:rFonts w:asciiTheme="minorHAnsi" w:hAnsiTheme="minorHAnsi"/>
          <w:color w:val="auto"/>
          <w:sz w:val="22"/>
          <w:szCs w:val="22"/>
        </w:rPr>
        <w:t xml:space="preserve">staff; 92 per cent satisfaction with </w:t>
      </w:r>
      <w:r w:rsidR="00225A51">
        <w:rPr>
          <w:rFonts w:asciiTheme="minorHAnsi" w:hAnsiTheme="minorHAnsi"/>
          <w:color w:val="auto"/>
          <w:sz w:val="22"/>
          <w:szCs w:val="22"/>
        </w:rPr>
        <w:t xml:space="preserve">our </w:t>
      </w:r>
      <w:r>
        <w:rPr>
          <w:rFonts w:asciiTheme="minorHAnsi" w:hAnsiTheme="minorHAnsi"/>
          <w:color w:val="auto"/>
          <w:sz w:val="22"/>
          <w:szCs w:val="22"/>
        </w:rPr>
        <w:t>staff professionalism and approachability and over 90</w:t>
      </w:r>
      <w:r w:rsidRPr="00FC77F2">
        <w:rPr>
          <w:rFonts w:asciiTheme="minorHAnsi" w:hAnsiTheme="minorHAnsi"/>
          <w:color w:val="auto"/>
          <w:sz w:val="22"/>
          <w:szCs w:val="22"/>
        </w:rPr>
        <w:t xml:space="preserve"> per cent </w:t>
      </w:r>
      <w:r w:rsidRPr="00D00BED">
        <w:rPr>
          <w:rFonts w:asciiTheme="minorHAnsi" w:hAnsiTheme="minorHAnsi"/>
          <w:color w:val="auto"/>
          <w:sz w:val="22"/>
          <w:szCs w:val="22"/>
        </w:rPr>
        <w:t>satisfaction</w:t>
      </w:r>
      <w:r w:rsidRPr="00D127EF">
        <w:rPr>
          <w:rFonts w:asciiTheme="minorHAnsi" w:hAnsiTheme="minorHAnsi"/>
          <w:vertAlign w:val="superscript"/>
        </w:rPr>
        <w:footnoteReference w:id="4"/>
      </w:r>
      <w:r w:rsidRPr="00D00BED">
        <w:rPr>
          <w:rFonts w:asciiTheme="minorHAnsi" w:hAnsiTheme="minorHAnsi"/>
          <w:color w:val="auto"/>
          <w:sz w:val="22"/>
          <w:szCs w:val="22"/>
        </w:rPr>
        <w:t xml:space="preserve"> with</w:t>
      </w:r>
      <w:r w:rsidRPr="00C57E37">
        <w:rPr>
          <w:rFonts w:asciiTheme="minorHAnsi" w:hAnsiTheme="minorHAnsi"/>
          <w:color w:val="auto"/>
          <w:sz w:val="22"/>
          <w:szCs w:val="22"/>
        </w:rPr>
        <w:t xml:space="preserve"> </w:t>
      </w:r>
      <w:r w:rsidR="00225A51">
        <w:rPr>
          <w:rFonts w:asciiTheme="minorHAnsi" w:hAnsiTheme="minorHAnsi"/>
          <w:color w:val="auto"/>
          <w:sz w:val="22"/>
          <w:szCs w:val="22"/>
        </w:rPr>
        <w:t>our</w:t>
      </w:r>
      <w:r w:rsidR="00225A51" w:rsidRPr="00C57E37">
        <w:rPr>
          <w:rFonts w:asciiTheme="minorHAnsi" w:hAnsiTheme="minorHAnsi"/>
          <w:color w:val="auto"/>
          <w:sz w:val="22"/>
          <w:szCs w:val="22"/>
        </w:rPr>
        <w:t xml:space="preserve"> </w:t>
      </w:r>
      <w:r w:rsidRPr="00C57E37">
        <w:rPr>
          <w:rFonts w:asciiTheme="minorHAnsi" w:hAnsiTheme="minorHAnsi"/>
          <w:color w:val="auto"/>
          <w:sz w:val="22"/>
          <w:szCs w:val="22"/>
        </w:rPr>
        <w:t>responsiveness to business needs</w:t>
      </w:r>
      <w:r>
        <w:rPr>
          <w:rFonts w:asciiTheme="minorHAnsi" w:hAnsiTheme="minorHAnsi"/>
          <w:color w:val="auto"/>
          <w:sz w:val="22"/>
          <w:szCs w:val="22"/>
        </w:rPr>
        <w:t xml:space="preserve">, according to the </w:t>
      </w:r>
      <w:r w:rsidRPr="00732E64">
        <w:rPr>
          <w:rFonts w:asciiTheme="minorHAnsi" w:hAnsiTheme="minorHAnsi"/>
          <w:color w:val="auto"/>
          <w:sz w:val="22"/>
          <w:szCs w:val="22"/>
        </w:rPr>
        <w:t>survey</w:t>
      </w:r>
      <w:r>
        <w:rPr>
          <w:rFonts w:asciiTheme="minorHAnsi" w:hAnsiTheme="minorHAnsi"/>
          <w:color w:val="auto"/>
          <w:sz w:val="22"/>
          <w:szCs w:val="22"/>
        </w:rPr>
        <w:t>.</w:t>
      </w:r>
    </w:p>
    <w:p w14:paraId="5085C21F" w14:textId="4742C158" w:rsidR="00351ECA"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sidRPr="00852951">
        <w:rPr>
          <w:rFonts w:asciiTheme="minorHAnsi" w:hAnsiTheme="minorHAnsi"/>
          <w:color w:val="auto"/>
          <w:sz w:val="22"/>
          <w:szCs w:val="22"/>
        </w:rPr>
        <w:t xml:space="preserve">A core function of NOPTA is providing advice to the Joint Authorities.  </w:t>
      </w:r>
      <w:r w:rsidRPr="000F3E96">
        <w:rPr>
          <w:rFonts w:asciiTheme="minorHAnsi" w:hAnsiTheme="minorHAnsi"/>
          <w:color w:val="auto"/>
          <w:sz w:val="22"/>
          <w:szCs w:val="22"/>
        </w:rPr>
        <w:t>The</w:t>
      </w:r>
      <w:r w:rsidRPr="00852951">
        <w:rPr>
          <w:rFonts w:asciiTheme="minorHAnsi" w:hAnsiTheme="minorHAnsi"/>
          <w:color w:val="auto"/>
          <w:sz w:val="22"/>
          <w:szCs w:val="22"/>
        </w:rPr>
        <w:t xml:space="preserve"> survey </w:t>
      </w:r>
      <w:r w:rsidRPr="000F3E96">
        <w:rPr>
          <w:rFonts w:asciiTheme="minorHAnsi" w:hAnsiTheme="minorHAnsi"/>
          <w:color w:val="auto"/>
          <w:sz w:val="22"/>
          <w:szCs w:val="22"/>
        </w:rPr>
        <w:t>noted</w:t>
      </w:r>
      <w:r>
        <w:rPr>
          <w:rFonts w:asciiTheme="minorHAnsi" w:hAnsiTheme="minorHAnsi"/>
          <w:color w:val="auto"/>
          <w:sz w:val="22"/>
          <w:szCs w:val="22"/>
        </w:rPr>
        <w:t xml:space="preserve"> f</w:t>
      </w:r>
      <w:r w:rsidRPr="00852951">
        <w:rPr>
          <w:rFonts w:asciiTheme="minorHAnsi" w:hAnsiTheme="minorHAnsi"/>
          <w:color w:val="auto"/>
          <w:sz w:val="22"/>
          <w:szCs w:val="22"/>
        </w:rPr>
        <w:t>ive of the six Joint Authority respondents were very satisfied with the accuracy of information received from NOPTA.</w:t>
      </w:r>
    </w:p>
    <w:p w14:paraId="44288237" w14:textId="25348FEC" w:rsidR="00351ECA" w:rsidRPr="00852951"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sidRPr="00852951">
        <w:rPr>
          <w:rFonts w:asciiTheme="minorHAnsi" w:hAnsiTheme="minorHAnsi"/>
          <w:color w:val="auto"/>
          <w:sz w:val="22"/>
          <w:szCs w:val="22"/>
        </w:rPr>
        <w:t>There was overall satisfaction with the limited range of</w:t>
      </w:r>
      <w:r w:rsidRPr="000F3E96">
        <w:rPr>
          <w:rFonts w:asciiTheme="minorHAnsi" w:hAnsiTheme="minorHAnsi"/>
          <w:color w:val="auto"/>
          <w:sz w:val="22"/>
          <w:szCs w:val="22"/>
        </w:rPr>
        <w:t xml:space="preserve"> Title Administrator decisions.</w:t>
      </w:r>
      <w:r w:rsidRPr="00852951">
        <w:rPr>
          <w:rFonts w:asciiTheme="minorHAnsi" w:hAnsiTheme="minorHAnsi"/>
          <w:color w:val="auto"/>
          <w:sz w:val="22"/>
          <w:szCs w:val="22"/>
        </w:rPr>
        <w:t xml:space="preserve"> </w:t>
      </w:r>
      <w:r w:rsidR="00583227">
        <w:rPr>
          <w:rFonts w:asciiTheme="minorHAnsi" w:hAnsiTheme="minorHAnsi"/>
          <w:color w:val="auto"/>
          <w:sz w:val="22"/>
          <w:szCs w:val="22"/>
        </w:rPr>
        <w:t>Survey</w:t>
      </w:r>
      <w:r w:rsidR="00225A51">
        <w:rPr>
          <w:rFonts w:asciiTheme="minorHAnsi" w:hAnsiTheme="minorHAnsi"/>
          <w:color w:val="auto"/>
          <w:sz w:val="22"/>
          <w:szCs w:val="22"/>
        </w:rPr>
        <w:t xml:space="preserve"> r</w:t>
      </w:r>
      <w:r w:rsidRPr="00852951">
        <w:rPr>
          <w:rFonts w:asciiTheme="minorHAnsi" w:hAnsiTheme="minorHAnsi"/>
          <w:color w:val="auto"/>
          <w:sz w:val="22"/>
          <w:szCs w:val="22"/>
        </w:rPr>
        <w:t xml:space="preserve">espondents were satisfied that the decisions were consistent (60 per cent), justified (65 per cent), transparent (65 per cent) and predictable (55 per cent).  The discretionary nature of the Title Administrator’s </w:t>
      </w:r>
      <w:r w:rsidR="00566BCB">
        <w:rPr>
          <w:rFonts w:asciiTheme="minorHAnsi" w:hAnsiTheme="minorHAnsi"/>
          <w:color w:val="auto"/>
          <w:sz w:val="22"/>
          <w:szCs w:val="22"/>
        </w:rPr>
        <w:t xml:space="preserve">legislative </w:t>
      </w:r>
      <w:r w:rsidRPr="00852951">
        <w:rPr>
          <w:rFonts w:asciiTheme="minorHAnsi" w:hAnsiTheme="minorHAnsi"/>
          <w:color w:val="auto"/>
          <w:sz w:val="22"/>
          <w:szCs w:val="22"/>
        </w:rPr>
        <w:t xml:space="preserve">decision-making powers </w:t>
      </w:r>
      <w:r w:rsidR="00566BCB">
        <w:rPr>
          <w:rFonts w:asciiTheme="minorHAnsi" w:hAnsiTheme="minorHAnsi"/>
          <w:color w:val="auto"/>
          <w:sz w:val="22"/>
          <w:szCs w:val="22"/>
        </w:rPr>
        <w:t>may have</w:t>
      </w:r>
      <w:r>
        <w:rPr>
          <w:rFonts w:asciiTheme="minorHAnsi" w:hAnsiTheme="minorHAnsi"/>
          <w:color w:val="auto"/>
          <w:sz w:val="22"/>
          <w:szCs w:val="22"/>
        </w:rPr>
        <w:t xml:space="preserve"> influence</w:t>
      </w:r>
      <w:r w:rsidR="00566BCB">
        <w:rPr>
          <w:rFonts w:asciiTheme="minorHAnsi" w:hAnsiTheme="minorHAnsi"/>
          <w:color w:val="auto"/>
          <w:sz w:val="22"/>
          <w:szCs w:val="22"/>
        </w:rPr>
        <w:t>d</w:t>
      </w:r>
      <w:r>
        <w:rPr>
          <w:rFonts w:asciiTheme="minorHAnsi" w:hAnsiTheme="minorHAnsi"/>
          <w:color w:val="auto"/>
          <w:sz w:val="22"/>
          <w:szCs w:val="22"/>
        </w:rPr>
        <w:t xml:space="preserve"> these results.</w:t>
      </w:r>
      <w:r w:rsidRPr="00852951">
        <w:rPr>
          <w:rFonts w:asciiTheme="minorHAnsi" w:hAnsiTheme="minorHAnsi"/>
          <w:color w:val="auto"/>
          <w:sz w:val="22"/>
          <w:szCs w:val="22"/>
        </w:rPr>
        <w:t xml:space="preserve"> </w:t>
      </w:r>
    </w:p>
    <w:p w14:paraId="611858DC" w14:textId="17F4A11F" w:rsidR="00351ECA" w:rsidRPr="00852951"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sidRPr="00852951">
        <w:rPr>
          <w:rFonts w:asciiTheme="minorHAnsi" w:hAnsiTheme="minorHAnsi"/>
          <w:color w:val="auto"/>
          <w:sz w:val="22"/>
          <w:szCs w:val="22"/>
        </w:rPr>
        <w:t>NOPTA is a member of the International Upstream Forum</w:t>
      </w:r>
      <w:r w:rsidR="00667DA2">
        <w:rPr>
          <w:rFonts w:asciiTheme="minorHAnsi" w:hAnsiTheme="minorHAnsi"/>
          <w:color w:val="auto"/>
          <w:sz w:val="22"/>
          <w:szCs w:val="22"/>
        </w:rPr>
        <w:t xml:space="preserve"> (IUF)</w:t>
      </w:r>
      <w:r w:rsidR="005017EB">
        <w:rPr>
          <w:rFonts w:asciiTheme="minorHAnsi" w:hAnsiTheme="minorHAnsi"/>
          <w:color w:val="auto"/>
          <w:sz w:val="22"/>
          <w:szCs w:val="22"/>
        </w:rPr>
        <w:t xml:space="preserve">, </w:t>
      </w:r>
      <w:r w:rsidR="005017EB" w:rsidRPr="00852951">
        <w:rPr>
          <w:rFonts w:asciiTheme="minorHAnsi" w:hAnsiTheme="minorHAnsi"/>
          <w:color w:val="auto"/>
          <w:sz w:val="22"/>
          <w:szCs w:val="22"/>
        </w:rPr>
        <w:t>the</w:t>
      </w:r>
      <w:r w:rsidRPr="00852951">
        <w:rPr>
          <w:rFonts w:asciiTheme="minorHAnsi" w:hAnsiTheme="minorHAnsi"/>
          <w:color w:val="auto"/>
          <w:sz w:val="22"/>
          <w:szCs w:val="22"/>
        </w:rPr>
        <w:t xml:space="preserve"> Professional Petroleum Data Management (PPDM) Association</w:t>
      </w:r>
      <w:r w:rsidR="00597822">
        <w:rPr>
          <w:rFonts w:asciiTheme="minorHAnsi" w:hAnsiTheme="minorHAnsi"/>
          <w:color w:val="auto"/>
          <w:sz w:val="22"/>
          <w:szCs w:val="22"/>
        </w:rPr>
        <w:t xml:space="preserve"> and </w:t>
      </w:r>
      <w:proofErr w:type="spellStart"/>
      <w:r w:rsidR="00597822">
        <w:rPr>
          <w:rFonts w:asciiTheme="minorHAnsi" w:hAnsiTheme="minorHAnsi"/>
          <w:color w:val="auto"/>
          <w:sz w:val="22"/>
          <w:szCs w:val="22"/>
        </w:rPr>
        <w:t>Energistics</w:t>
      </w:r>
      <w:proofErr w:type="spellEnd"/>
      <w:r w:rsidRPr="00852951">
        <w:rPr>
          <w:rFonts w:asciiTheme="minorHAnsi" w:hAnsiTheme="minorHAnsi"/>
          <w:color w:val="auto"/>
          <w:sz w:val="22"/>
          <w:szCs w:val="22"/>
        </w:rPr>
        <w:t xml:space="preserve">. </w:t>
      </w:r>
      <w:r w:rsidR="00817298">
        <w:rPr>
          <w:rFonts w:asciiTheme="minorHAnsi" w:hAnsiTheme="minorHAnsi"/>
          <w:color w:val="auto"/>
          <w:sz w:val="22"/>
          <w:szCs w:val="22"/>
        </w:rPr>
        <w:t xml:space="preserve"> </w:t>
      </w:r>
      <w:r w:rsidR="00583227">
        <w:rPr>
          <w:rFonts w:asciiTheme="minorHAnsi" w:hAnsiTheme="minorHAnsi"/>
          <w:color w:val="auto"/>
          <w:sz w:val="22"/>
          <w:szCs w:val="22"/>
        </w:rPr>
        <w:t>We</w:t>
      </w:r>
      <w:r w:rsidR="00583227" w:rsidRPr="00852951">
        <w:rPr>
          <w:rFonts w:asciiTheme="minorHAnsi" w:hAnsiTheme="minorHAnsi"/>
          <w:color w:val="auto"/>
          <w:sz w:val="22"/>
          <w:szCs w:val="22"/>
        </w:rPr>
        <w:t xml:space="preserve"> </w:t>
      </w:r>
      <w:r w:rsidRPr="00852951">
        <w:rPr>
          <w:rFonts w:asciiTheme="minorHAnsi" w:hAnsiTheme="minorHAnsi"/>
          <w:color w:val="auto"/>
          <w:sz w:val="22"/>
          <w:szCs w:val="22"/>
        </w:rPr>
        <w:t xml:space="preserve">actively participate in data standards forums including the National Data Repositories </w:t>
      </w:r>
      <w:r w:rsidR="00C84B81">
        <w:rPr>
          <w:rFonts w:asciiTheme="minorHAnsi" w:hAnsiTheme="minorHAnsi"/>
          <w:color w:val="auto"/>
          <w:sz w:val="22"/>
          <w:szCs w:val="22"/>
        </w:rPr>
        <w:t>W</w:t>
      </w:r>
      <w:r w:rsidRPr="00852951">
        <w:rPr>
          <w:rFonts w:asciiTheme="minorHAnsi" w:hAnsiTheme="minorHAnsi"/>
          <w:color w:val="auto"/>
          <w:sz w:val="22"/>
          <w:szCs w:val="22"/>
        </w:rPr>
        <w:t>ork</w:t>
      </w:r>
      <w:r w:rsidR="00C84B81">
        <w:rPr>
          <w:rFonts w:asciiTheme="minorHAnsi" w:hAnsiTheme="minorHAnsi"/>
          <w:color w:val="auto"/>
          <w:sz w:val="22"/>
          <w:szCs w:val="22"/>
        </w:rPr>
        <w:t>ing</w:t>
      </w:r>
      <w:r w:rsidRPr="00852951">
        <w:rPr>
          <w:rFonts w:asciiTheme="minorHAnsi" w:hAnsiTheme="minorHAnsi"/>
          <w:color w:val="auto"/>
          <w:sz w:val="22"/>
          <w:szCs w:val="22"/>
        </w:rPr>
        <w:t xml:space="preserve"> </w:t>
      </w:r>
      <w:r w:rsidR="00C84B81">
        <w:rPr>
          <w:rFonts w:asciiTheme="minorHAnsi" w:hAnsiTheme="minorHAnsi"/>
          <w:color w:val="auto"/>
          <w:sz w:val="22"/>
          <w:szCs w:val="22"/>
        </w:rPr>
        <w:t>G</w:t>
      </w:r>
      <w:r w:rsidRPr="00852951">
        <w:rPr>
          <w:rFonts w:asciiTheme="minorHAnsi" w:hAnsiTheme="minorHAnsi"/>
          <w:color w:val="auto"/>
          <w:sz w:val="22"/>
          <w:szCs w:val="22"/>
        </w:rPr>
        <w:t xml:space="preserve">roup and as the PPDM Regulatory Data Standards Committee. </w:t>
      </w:r>
      <w:r w:rsidR="001810C4">
        <w:rPr>
          <w:rFonts w:asciiTheme="minorHAnsi" w:hAnsiTheme="minorHAnsi"/>
          <w:color w:val="auto"/>
          <w:sz w:val="22"/>
          <w:szCs w:val="22"/>
        </w:rPr>
        <w:t xml:space="preserve"> </w:t>
      </w:r>
      <w:r w:rsidR="00583227">
        <w:rPr>
          <w:rFonts w:asciiTheme="minorHAnsi" w:hAnsiTheme="minorHAnsi"/>
          <w:color w:val="auto"/>
          <w:sz w:val="22"/>
          <w:szCs w:val="22"/>
        </w:rPr>
        <w:t xml:space="preserve">We attend </w:t>
      </w:r>
      <w:r w:rsidR="00597822">
        <w:rPr>
          <w:rFonts w:asciiTheme="minorHAnsi" w:hAnsiTheme="minorHAnsi"/>
          <w:color w:val="auto"/>
          <w:sz w:val="22"/>
          <w:szCs w:val="22"/>
        </w:rPr>
        <w:t xml:space="preserve">the </w:t>
      </w:r>
      <w:r w:rsidRPr="00852951">
        <w:rPr>
          <w:rFonts w:asciiTheme="minorHAnsi" w:hAnsiTheme="minorHAnsi"/>
          <w:color w:val="auto"/>
          <w:sz w:val="22"/>
          <w:szCs w:val="22"/>
        </w:rPr>
        <w:t xml:space="preserve">International Regulator’s Forum </w:t>
      </w:r>
      <w:r w:rsidR="00667DA2">
        <w:rPr>
          <w:rFonts w:asciiTheme="minorHAnsi" w:hAnsiTheme="minorHAnsi"/>
          <w:color w:val="auto"/>
          <w:sz w:val="22"/>
          <w:szCs w:val="22"/>
        </w:rPr>
        <w:t>(IRF)</w:t>
      </w:r>
      <w:r w:rsidRPr="00852951">
        <w:rPr>
          <w:rFonts w:asciiTheme="minorHAnsi" w:hAnsiTheme="minorHAnsi"/>
          <w:color w:val="auto"/>
          <w:sz w:val="22"/>
          <w:szCs w:val="22"/>
        </w:rPr>
        <w:t>.</w:t>
      </w:r>
    </w:p>
    <w:p w14:paraId="7E15EACD" w14:textId="4563324B" w:rsidR="00351ECA" w:rsidRPr="00852951" w:rsidRDefault="00583227" w:rsidP="00C43793">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We implement improvement strategies derived from our </w:t>
      </w:r>
      <w:r w:rsidR="00351ECA" w:rsidRPr="00852951">
        <w:rPr>
          <w:rFonts w:asciiTheme="minorHAnsi" w:hAnsiTheme="minorHAnsi"/>
          <w:color w:val="auto"/>
          <w:sz w:val="22"/>
          <w:szCs w:val="22"/>
        </w:rPr>
        <w:t>peer experiences</w:t>
      </w:r>
      <w:r>
        <w:rPr>
          <w:rFonts w:asciiTheme="minorHAnsi" w:hAnsiTheme="minorHAnsi"/>
          <w:color w:val="auto"/>
          <w:sz w:val="22"/>
          <w:szCs w:val="22"/>
        </w:rPr>
        <w:t xml:space="preserve"> and international engagement.  This highlights our commitment to </w:t>
      </w:r>
      <w:r w:rsidR="00351ECA" w:rsidRPr="00852951">
        <w:rPr>
          <w:rFonts w:asciiTheme="minorHAnsi" w:hAnsiTheme="minorHAnsi"/>
          <w:color w:val="auto"/>
          <w:sz w:val="22"/>
          <w:szCs w:val="22"/>
        </w:rPr>
        <w:t>continuous improvement</w:t>
      </w:r>
      <w:r>
        <w:rPr>
          <w:rFonts w:asciiTheme="minorHAnsi" w:hAnsiTheme="minorHAnsi"/>
          <w:color w:val="auto"/>
          <w:sz w:val="22"/>
          <w:szCs w:val="22"/>
        </w:rPr>
        <w:t xml:space="preserve"> and reducing </w:t>
      </w:r>
      <w:r w:rsidR="00351ECA" w:rsidRPr="00852951">
        <w:rPr>
          <w:rFonts w:asciiTheme="minorHAnsi" w:hAnsiTheme="minorHAnsi"/>
          <w:color w:val="auto"/>
          <w:sz w:val="22"/>
          <w:szCs w:val="22"/>
        </w:rPr>
        <w:t xml:space="preserve">the costs of compliance for </w:t>
      </w:r>
      <w:r>
        <w:rPr>
          <w:rFonts w:asciiTheme="minorHAnsi" w:hAnsiTheme="minorHAnsi"/>
          <w:color w:val="auto"/>
          <w:sz w:val="22"/>
          <w:szCs w:val="22"/>
        </w:rPr>
        <w:t xml:space="preserve">the industry we </w:t>
      </w:r>
      <w:r w:rsidR="00351ECA" w:rsidRPr="00852951">
        <w:rPr>
          <w:rFonts w:asciiTheme="minorHAnsi" w:hAnsiTheme="minorHAnsi"/>
          <w:color w:val="auto"/>
          <w:sz w:val="22"/>
          <w:szCs w:val="22"/>
        </w:rPr>
        <w:t>regulate.</w:t>
      </w:r>
    </w:p>
    <w:bookmarkEnd w:id="18"/>
    <w:p w14:paraId="496D3773" w14:textId="77777777" w:rsidR="005017EB" w:rsidRDefault="005017EB">
      <w:pPr>
        <w:rPr>
          <w:rFonts w:asciiTheme="majorHAnsi" w:eastAsiaTheme="majorEastAsia" w:hAnsiTheme="majorHAnsi" w:cstheme="majorBidi"/>
          <w:b/>
          <w:color w:val="2E74B5" w:themeColor="accent1" w:themeShade="BF"/>
          <w:sz w:val="26"/>
          <w:szCs w:val="26"/>
        </w:rPr>
      </w:pPr>
      <w:r>
        <w:rPr>
          <w:b/>
        </w:rPr>
        <w:br w:type="page"/>
      </w:r>
    </w:p>
    <w:p w14:paraId="29DDB67B" w14:textId="3361C91D" w:rsidR="00351ECA" w:rsidRPr="00A37C75" w:rsidRDefault="00351ECA" w:rsidP="00351ECA">
      <w:pPr>
        <w:pStyle w:val="Heading2"/>
        <w:rPr>
          <w:b/>
        </w:rPr>
      </w:pPr>
      <w:bookmarkStart w:id="19" w:name="_Toc497215472"/>
      <w:r>
        <w:rPr>
          <w:b/>
        </w:rPr>
        <w:lastRenderedPageBreak/>
        <w:t>KPI</w:t>
      </w:r>
      <w:r w:rsidRPr="00A37C75">
        <w:rPr>
          <w:b/>
        </w:rPr>
        <w:t xml:space="preserve"> 2</w:t>
      </w:r>
      <w:r>
        <w:rPr>
          <w:b/>
        </w:rPr>
        <w:t xml:space="preserve">: </w:t>
      </w:r>
      <w:r w:rsidRPr="00A37C75">
        <w:rPr>
          <w:b/>
        </w:rPr>
        <w:t xml:space="preserve">Communication with </w:t>
      </w:r>
      <w:r>
        <w:rPr>
          <w:b/>
        </w:rPr>
        <w:t>regulated entities</w:t>
      </w:r>
      <w:r w:rsidRPr="00A37C75">
        <w:rPr>
          <w:b/>
        </w:rPr>
        <w:t xml:space="preserve"> is clear, targeted and effective</w:t>
      </w:r>
      <w:bookmarkEnd w:id="19"/>
    </w:p>
    <w:p w14:paraId="39AE57D6" w14:textId="77777777" w:rsidR="00351ECA" w:rsidRDefault="00351ECA" w:rsidP="000D3731">
      <w:pPr>
        <w:pStyle w:val="Heading3"/>
      </w:pPr>
      <w:bookmarkStart w:id="20" w:name="_Toc497215473"/>
      <w:r>
        <w:t>KPI Expectations</w:t>
      </w:r>
      <w:bookmarkEnd w:id="20"/>
    </w:p>
    <w:p w14:paraId="706C8DB2" w14:textId="7CFA8495" w:rsidR="00351ECA" w:rsidRPr="00FF2FAE" w:rsidRDefault="00351ECA" w:rsidP="00351ECA">
      <w:pPr>
        <w:spacing w:line="240" w:lineRule="auto"/>
      </w:pPr>
      <w:r>
        <w:t>To communicate effectively with regulated entities so they understand what they need to do.</w:t>
      </w:r>
      <w:r w:rsidR="004C7146">
        <w:t xml:space="preserve"> </w:t>
      </w:r>
      <w:r>
        <w:t xml:space="preserve">The regulator provides clear and consistent information through various mediums including guidelines that explains why the information is required and how it is used.  Effective communication supports compliance, regulatory feedback and continuous improvement.  </w:t>
      </w:r>
    </w:p>
    <w:p w14:paraId="0F84E785" w14:textId="77777777" w:rsidR="00351ECA" w:rsidRDefault="00351ECA" w:rsidP="000D3731">
      <w:pPr>
        <w:pStyle w:val="Heading3"/>
      </w:pPr>
      <w:bookmarkStart w:id="21" w:name="_Toc497215474"/>
      <w:r>
        <w:t>NOPTA’s Approach</w:t>
      </w:r>
      <w:bookmarkEnd w:id="21"/>
      <w:r w:rsidRPr="00686DDC">
        <w:t xml:space="preserve"> </w:t>
      </w:r>
    </w:p>
    <w:p w14:paraId="78B2848C" w14:textId="6A19CEA8" w:rsidR="00351ECA" w:rsidRDefault="00654C58" w:rsidP="00351ECA">
      <w:pPr>
        <w:spacing w:line="240" w:lineRule="auto"/>
      </w:pPr>
      <w:r>
        <w:t xml:space="preserve">We </w:t>
      </w:r>
      <w:r w:rsidR="00351ECA">
        <w:t xml:space="preserve">use a variety of mediums to collaborate, communicate, consult and engage with stakeholders.  This includes face-to-face meetings, attending industry conferences and providing information e.g. guidelines, factsheets and </w:t>
      </w:r>
      <w:r>
        <w:t>our</w:t>
      </w:r>
      <w:r w:rsidRPr="004638A9">
        <w:t xml:space="preserve"> </w:t>
      </w:r>
      <w:r w:rsidR="00351ECA" w:rsidRPr="004638A9">
        <w:t xml:space="preserve">monthly performance statistics </w:t>
      </w:r>
      <w:r w:rsidR="00351ECA">
        <w:t xml:space="preserve">on the website.  </w:t>
      </w:r>
    </w:p>
    <w:p w14:paraId="7393E7A4" w14:textId="5BC38BDF" w:rsidR="00351ECA" w:rsidRDefault="00351ECA" w:rsidP="00351ECA">
      <w:pPr>
        <w:spacing w:line="240" w:lineRule="auto"/>
      </w:pPr>
      <w:r>
        <w:t xml:space="preserve">Regular contact helps to build a shared understanding of titleholder issues and provides opportunities to raise any issues, clarify ambiguities and to address non-compliance.  </w:t>
      </w:r>
      <w:r w:rsidR="00654C58">
        <w:t xml:space="preserve">We </w:t>
      </w:r>
      <w:r>
        <w:t xml:space="preserve">consult stakeholders on new or updated forms, guidelines and templates as appropriate.  </w:t>
      </w:r>
    </w:p>
    <w:p w14:paraId="0C2A774B" w14:textId="77777777" w:rsidR="00351ECA" w:rsidRDefault="00351ECA" w:rsidP="000D3731">
      <w:pPr>
        <w:pStyle w:val="Heading3"/>
      </w:pPr>
      <w:bookmarkStart w:id="22" w:name="_Toc497215475"/>
      <w:r>
        <w:t>Results</w:t>
      </w:r>
      <w:bookmarkEnd w:id="22"/>
    </w:p>
    <w:p w14:paraId="542F1D56" w14:textId="7A99D893" w:rsidR="00351ECA" w:rsidRPr="00852951"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sidRPr="00852951">
        <w:rPr>
          <w:rFonts w:asciiTheme="minorHAnsi" w:hAnsiTheme="minorHAnsi"/>
          <w:color w:val="auto"/>
          <w:sz w:val="22"/>
          <w:szCs w:val="22"/>
        </w:rPr>
        <w:t>Almost all</w:t>
      </w:r>
      <w:r>
        <w:rPr>
          <w:rFonts w:asciiTheme="minorHAnsi" w:hAnsiTheme="minorHAnsi"/>
          <w:color w:val="auto"/>
          <w:sz w:val="22"/>
          <w:szCs w:val="22"/>
        </w:rPr>
        <w:t xml:space="preserve"> 2017 stakeholder survey</w:t>
      </w:r>
      <w:r w:rsidRPr="00852951">
        <w:rPr>
          <w:rFonts w:asciiTheme="minorHAnsi" w:hAnsiTheme="minorHAnsi"/>
          <w:color w:val="auto"/>
          <w:sz w:val="22"/>
          <w:szCs w:val="22"/>
        </w:rPr>
        <w:t xml:space="preserve"> respondents rated personal communication with NOPTA highly and considered the information received as up</w:t>
      </w:r>
      <w:r w:rsidR="00526B97">
        <w:rPr>
          <w:rFonts w:asciiTheme="minorHAnsi" w:hAnsiTheme="minorHAnsi"/>
          <w:color w:val="auto"/>
          <w:sz w:val="22"/>
          <w:szCs w:val="22"/>
        </w:rPr>
        <w:noBreakHyphen/>
      </w:r>
      <w:r w:rsidRPr="00852951">
        <w:rPr>
          <w:rFonts w:asciiTheme="minorHAnsi" w:hAnsiTheme="minorHAnsi"/>
          <w:color w:val="auto"/>
          <w:sz w:val="22"/>
          <w:szCs w:val="22"/>
        </w:rPr>
        <w:t>to-date, clear, accessible, accurate, complete, consistent and timely.</w:t>
      </w:r>
      <w:r>
        <w:rPr>
          <w:rFonts w:asciiTheme="minorHAnsi" w:hAnsiTheme="minorHAnsi"/>
          <w:color w:val="auto"/>
          <w:sz w:val="22"/>
          <w:szCs w:val="22"/>
        </w:rPr>
        <w:t xml:space="preserve">  </w:t>
      </w:r>
      <w:r w:rsidRPr="00852951">
        <w:rPr>
          <w:rFonts w:asciiTheme="minorHAnsi" w:hAnsiTheme="minorHAnsi"/>
          <w:color w:val="auto"/>
          <w:sz w:val="22"/>
          <w:szCs w:val="22"/>
        </w:rPr>
        <w:t xml:space="preserve">Personal contact via phone, email or face-to-face meetings accounted for 97 per cent of the type of interaction </w:t>
      </w:r>
      <w:r w:rsidR="00654C58">
        <w:rPr>
          <w:rFonts w:asciiTheme="minorHAnsi" w:hAnsiTheme="minorHAnsi"/>
          <w:color w:val="auto"/>
          <w:sz w:val="22"/>
          <w:szCs w:val="22"/>
        </w:rPr>
        <w:t>we</w:t>
      </w:r>
      <w:r w:rsidR="00654C58" w:rsidRPr="00852951">
        <w:rPr>
          <w:rFonts w:asciiTheme="minorHAnsi" w:hAnsiTheme="minorHAnsi"/>
          <w:color w:val="auto"/>
          <w:sz w:val="22"/>
          <w:szCs w:val="22"/>
        </w:rPr>
        <w:t xml:space="preserve"> </w:t>
      </w:r>
      <w:r w:rsidRPr="00852951">
        <w:rPr>
          <w:rFonts w:asciiTheme="minorHAnsi" w:hAnsiTheme="minorHAnsi"/>
          <w:color w:val="auto"/>
          <w:sz w:val="22"/>
          <w:szCs w:val="22"/>
        </w:rPr>
        <w:t xml:space="preserve">had with respondents. </w:t>
      </w:r>
      <w:r>
        <w:rPr>
          <w:rFonts w:asciiTheme="minorHAnsi" w:hAnsiTheme="minorHAnsi"/>
          <w:color w:val="auto"/>
          <w:sz w:val="22"/>
          <w:szCs w:val="22"/>
        </w:rPr>
        <w:t xml:space="preserve"> </w:t>
      </w:r>
      <w:r w:rsidRPr="00852951">
        <w:rPr>
          <w:rFonts w:asciiTheme="minorHAnsi" w:hAnsiTheme="minorHAnsi"/>
          <w:color w:val="auto"/>
          <w:sz w:val="22"/>
          <w:szCs w:val="22"/>
        </w:rPr>
        <w:t>All titleholders use</w:t>
      </w:r>
      <w:r>
        <w:rPr>
          <w:rFonts w:asciiTheme="minorHAnsi" w:hAnsiTheme="minorHAnsi"/>
          <w:color w:val="auto"/>
          <w:sz w:val="22"/>
          <w:szCs w:val="22"/>
        </w:rPr>
        <w:t>d</w:t>
      </w:r>
      <w:r w:rsidRPr="00852951">
        <w:rPr>
          <w:rFonts w:asciiTheme="minorHAnsi" w:hAnsiTheme="minorHAnsi"/>
          <w:color w:val="auto"/>
          <w:sz w:val="22"/>
          <w:szCs w:val="22"/>
        </w:rPr>
        <w:t xml:space="preserve"> </w:t>
      </w:r>
      <w:r w:rsidR="00654C58">
        <w:rPr>
          <w:rFonts w:asciiTheme="minorHAnsi" w:hAnsiTheme="minorHAnsi"/>
          <w:color w:val="auto"/>
          <w:sz w:val="22"/>
          <w:szCs w:val="22"/>
        </w:rPr>
        <w:t>our</w:t>
      </w:r>
      <w:r w:rsidRPr="00852951">
        <w:rPr>
          <w:rFonts w:asciiTheme="minorHAnsi" w:hAnsiTheme="minorHAnsi"/>
          <w:color w:val="auto"/>
          <w:sz w:val="22"/>
          <w:szCs w:val="22"/>
        </w:rPr>
        <w:t xml:space="preserve"> website</w:t>
      </w:r>
      <w:r>
        <w:rPr>
          <w:rFonts w:asciiTheme="minorHAnsi" w:hAnsiTheme="minorHAnsi"/>
          <w:color w:val="auto"/>
          <w:sz w:val="22"/>
          <w:szCs w:val="22"/>
        </w:rPr>
        <w:t>.</w:t>
      </w:r>
    </w:p>
    <w:p w14:paraId="2E8542B6" w14:textId="2B075997" w:rsidR="00351ECA" w:rsidRPr="00852951"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sidRPr="00852951">
        <w:rPr>
          <w:rFonts w:asciiTheme="minorHAnsi" w:hAnsiTheme="minorHAnsi"/>
          <w:color w:val="auto"/>
          <w:sz w:val="22"/>
          <w:szCs w:val="22"/>
        </w:rPr>
        <w:t>NOPTA’s 201</w:t>
      </w:r>
      <w:r w:rsidR="00597822">
        <w:rPr>
          <w:rFonts w:asciiTheme="minorHAnsi" w:hAnsiTheme="minorHAnsi"/>
          <w:color w:val="auto"/>
          <w:sz w:val="22"/>
          <w:szCs w:val="22"/>
        </w:rPr>
        <w:t>6</w:t>
      </w:r>
      <w:r w:rsidRPr="00852951">
        <w:rPr>
          <w:rFonts w:asciiTheme="minorHAnsi" w:hAnsiTheme="minorHAnsi"/>
          <w:color w:val="auto"/>
          <w:sz w:val="22"/>
          <w:szCs w:val="22"/>
        </w:rPr>
        <w:t>-1</w:t>
      </w:r>
      <w:r w:rsidR="00597822">
        <w:rPr>
          <w:rFonts w:asciiTheme="minorHAnsi" w:hAnsiTheme="minorHAnsi"/>
          <w:color w:val="auto"/>
          <w:sz w:val="22"/>
          <w:szCs w:val="22"/>
        </w:rPr>
        <w:t>7</w:t>
      </w:r>
      <w:r w:rsidRPr="00852951">
        <w:rPr>
          <w:rFonts w:asciiTheme="minorHAnsi" w:hAnsiTheme="minorHAnsi"/>
          <w:color w:val="auto"/>
          <w:sz w:val="22"/>
          <w:szCs w:val="22"/>
        </w:rPr>
        <w:t xml:space="preserve"> </w:t>
      </w:r>
      <w:r w:rsidR="00C84B81">
        <w:rPr>
          <w:rFonts w:asciiTheme="minorHAnsi" w:hAnsiTheme="minorHAnsi"/>
          <w:color w:val="auto"/>
          <w:sz w:val="22"/>
          <w:szCs w:val="22"/>
        </w:rPr>
        <w:t>A</w:t>
      </w:r>
      <w:r w:rsidRPr="00852951">
        <w:rPr>
          <w:rFonts w:asciiTheme="minorHAnsi" w:hAnsiTheme="minorHAnsi"/>
          <w:color w:val="auto"/>
          <w:sz w:val="22"/>
          <w:szCs w:val="22"/>
        </w:rPr>
        <w:t xml:space="preserve">nnual </w:t>
      </w:r>
      <w:r w:rsidR="00C84B81">
        <w:rPr>
          <w:rFonts w:asciiTheme="minorHAnsi" w:hAnsiTheme="minorHAnsi"/>
          <w:color w:val="auto"/>
          <w:sz w:val="22"/>
          <w:szCs w:val="22"/>
        </w:rPr>
        <w:t>R</w:t>
      </w:r>
      <w:r w:rsidRPr="00852951">
        <w:rPr>
          <w:rFonts w:asciiTheme="minorHAnsi" w:hAnsiTheme="minorHAnsi"/>
          <w:color w:val="auto"/>
          <w:sz w:val="22"/>
          <w:szCs w:val="22"/>
        </w:rPr>
        <w:t xml:space="preserve">eport of </w:t>
      </w:r>
      <w:r w:rsidR="00C84B81">
        <w:rPr>
          <w:rFonts w:asciiTheme="minorHAnsi" w:hAnsiTheme="minorHAnsi"/>
          <w:color w:val="auto"/>
          <w:sz w:val="22"/>
          <w:szCs w:val="22"/>
        </w:rPr>
        <w:t>A</w:t>
      </w:r>
      <w:r w:rsidRPr="00852951">
        <w:rPr>
          <w:rFonts w:asciiTheme="minorHAnsi" w:hAnsiTheme="minorHAnsi"/>
          <w:color w:val="auto"/>
          <w:sz w:val="22"/>
          <w:szCs w:val="22"/>
        </w:rPr>
        <w:t xml:space="preserve">ctivities provides stakeholders with information on </w:t>
      </w:r>
      <w:r w:rsidR="00654C58">
        <w:rPr>
          <w:rFonts w:asciiTheme="minorHAnsi" w:hAnsiTheme="minorHAnsi"/>
          <w:color w:val="auto"/>
          <w:sz w:val="22"/>
          <w:szCs w:val="22"/>
        </w:rPr>
        <w:t>our</w:t>
      </w:r>
      <w:r w:rsidR="00654C58" w:rsidRPr="00852951">
        <w:rPr>
          <w:rFonts w:asciiTheme="minorHAnsi" w:hAnsiTheme="minorHAnsi"/>
          <w:color w:val="auto"/>
          <w:sz w:val="22"/>
          <w:szCs w:val="22"/>
        </w:rPr>
        <w:t xml:space="preserve"> </w:t>
      </w:r>
      <w:r w:rsidRPr="00852951">
        <w:rPr>
          <w:rFonts w:asciiTheme="minorHAnsi" w:hAnsiTheme="minorHAnsi"/>
          <w:color w:val="auto"/>
          <w:sz w:val="22"/>
          <w:szCs w:val="22"/>
        </w:rPr>
        <w:t xml:space="preserve">activities that complements statutory annual reporting by the </w:t>
      </w:r>
      <w:r w:rsidR="007036FF">
        <w:rPr>
          <w:rFonts w:asciiTheme="minorHAnsi" w:hAnsiTheme="minorHAnsi"/>
          <w:color w:val="auto"/>
          <w:sz w:val="22"/>
          <w:szCs w:val="22"/>
        </w:rPr>
        <w:t>department</w:t>
      </w:r>
      <w:r w:rsidRPr="00852951">
        <w:rPr>
          <w:rFonts w:asciiTheme="minorHAnsi" w:hAnsiTheme="minorHAnsi"/>
          <w:color w:val="auto"/>
          <w:sz w:val="22"/>
          <w:szCs w:val="22"/>
        </w:rPr>
        <w:t xml:space="preserve">. </w:t>
      </w:r>
    </w:p>
    <w:p w14:paraId="495D0B1F" w14:textId="53D51D0C" w:rsidR="00351ECA" w:rsidRDefault="00351ECA" w:rsidP="00C43793">
      <w:pPr>
        <w:pStyle w:val="ListParagraph"/>
        <w:numPr>
          <w:ilvl w:val="0"/>
          <w:numId w:val="3"/>
        </w:numPr>
        <w:spacing w:before="0" w:after="60"/>
        <w:ind w:left="426" w:hanging="426"/>
        <w:contextualSpacing w:val="0"/>
        <w:rPr>
          <w:rFonts w:asciiTheme="minorHAnsi" w:hAnsiTheme="minorHAnsi"/>
          <w:color w:val="auto"/>
          <w:sz w:val="22"/>
          <w:szCs w:val="22"/>
        </w:rPr>
      </w:pPr>
      <w:r>
        <w:rPr>
          <w:rFonts w:asciiTheme="minorHAnsi" w:hAnsiTheme="minorHAnsi"/>
          <w:color w:val="auto"/>
          <w:sz w:val="22"/>
          <w:szCs w:val="22"/>
        </w:rPr>
        <w:t>Updated and improved factsheets and guidelines to improve clarity of regulatory obligations and processes</w:t>
      </w:r>
      <w:r w:rsidR="004300B9">
        <w:rPr>
          <w:rFonts w:asciiTheme="minorHAnsi" w:hAnsiTheme="minorHAnsi"/>
          <w:color w:val="auto"/>
          <w:sz w:val="22"/>
          <w:szCs w:val="22"/>
        </w:rPr>
        <w:t xml:space="preserve">, in collaboration with the Offshore Resources Branch within the </w:t>
      </w:r>
      <w:r w:rsidR="007036FF">
        <w:rPr>
          <w:rFonts w:asciiTheme="minorHAnsi" w:hAnsiTheme="minorHAnsi"/>
          <w:color w:val="auto"/>
          <w:sz w:val="22"/>
          <w:szCs w:val="22"/>
        </w:rPr>
        <w:t>d</w:t>
      </w:r>
      <w:r w:rsidR="004300B9" w:rsidRPr="00852951">
        <w:rPr>
          <w:rFonts w:asciiTheme="minorHAnsi" w:hAnsiTheme="minorHAnsi"/>
          <w:color w:val="auto"/>
          <w:sz w:val="22"/>
          <w:szCs w:val="22"/>
        </w:rPr>
        <w:t>epartment</w:t>
      </w:r>
      <w:r>
        <w:rPr>
          <w:rFonts w:asciiTheme="minorHAnsi" w:hAnsiTheme="minorHAnsi"/>
          <w:color w:val="auto"/>
          <w:sz w:val="22"/>
          <w:szCs w:val="22"/>
        </w:rPr>
        <w:t xml:space="preserve">:  </w:t>
      </w:r>
    </w:p>
    <w:p w14:paraId="086CE8E4" w14:textId="75541D9A" w:rsidR="00351ECA" w:rsidRDefault="00351ECA" w:rsidP="009075DB">
      <w:pPr>
        <w:pStyle w:val="ListParagraph"/>
        <w:numPr>
          <w:ilvl w:val="1"/>
          <w:numId w:val="3"/>
        </w:numPr>
        <w:spacing w:before="0" w:after="60"/>
        <w:ind w:left="851" w:hanging="425"/>
        <w:contextualSpacing w:val="0"/>
        <w:rPr>
          <w:rFonts w:asciiTheme="minorHAnsi" w:hAnsiTheme="minorHAnsi"/>
          <w:color w:val="auto"/>
          <w:sz w:val="22"/>
          <w:szCs w:val="22"/>
        </w:rPr>
      </w:pPr>
      <w:r>
        <w:rPr>
          <w:rFonts w:asciiTheme="minorHAnsi" w:hAnsiTheme="minorHAnsi"/>
          <w:color w:val="auto"/>
          <w:sz w:val="22"/>
          <w:szCs w:val="22"/>
        </w:rPr>
        <w:t>new factsheet</w:t>
      </w:r>
      <w:r w:rsidR="00825FB6">
        <w:rPr>
          <w:rFonts w:asciiTheme="minorHAnsi" w:hAnsiTheme="minorHAnsi"/>
          <w:color w:val="auto"/>
          <w:sz w:val="22"/>
          <w:szCs w:val="22"/>
        </w:rPr>
        <w:t>s</w:t>
      </w:r>
      <w:r>
        <w:rPr>
          <w:rFonts w:asciiTheme="minorHAnsi" w:hAnsiTheme="minorHAnsi"/>
          <w:color w:val="auto"/>
          <w:sz w:val="22"/>
          <w:szCs w:val="22"/>
        </w:rPr>
        <w:t xml:space="preserve"> for </w:t>
      </w:r>
      <w:r w:rsidRPr="00AB7A1B">
        <w:rPr>
          <w:rFonts w:asciiTheme="minorHAnsi" w:hAnsiTheme="minorHAnsi"/>
          <w:color w:val="auto"/>
          <w:sz w:val="22"/>
          <w:szCs w:val="22"/>
          <w:lang w:val="en"/>
        </w:rPr>
        <w:t xml:space="preserve">industry stakeholders </w:t>
      </w:r>
      <w:r>
        <w:rPr>
          <w:rFonts w:asciiTheme="minorHAnsi" w:hAnsiTheme="minorHAnsi"/>
          <w:color w:val="auto"/>
          <w:sz w:val="22"/>
          <w:szCs w:val="22"/>
          <w:lang w:val="en"/>
        </w:rPr>
        <w:t>on</w:t>
      </w:r>
      <w:r w:rsidRPr="00AB7A1B">
        <w:rPr>
          <w:rFonts w:asciiTheme="minorHAnsi" w:hAnsiTheme="minorHAnsi"/>
          <w:color w:val="auto"/>
          <w:sz w:val="22"/>
          <w:szCs w:val="22"/>
          <w:lang w:val="en"/>
        </w:rPr>
        <w:t xml:space="preserve"> the processes for surrendering, cancelling and expiring offshore</w:t>
      </w:r>
      <w:r>
        <w:rPr>
          <w:rFonts w:asciiTheme="minorHAnsi" w:hAnsiTheme="minorHAnsi"/>
          <w:color w:val="auto"/>
          <w:sz w:val="22"/>
          <w:szCs w:val="22"/>
          <w:lang w:val="en"/>
        </w:rPr>
        <w:t xml:space="preserve"> petroleum titles</w:t>
      </w:r>
      <w:r w:rsidR="00424444">
        <w:rPr>
          <w:rFonts w:asciiTheme="minorHAnsi" w:hAnsiTheme="minorHAnsi"/>
          <w:color w:val="auto"/>
          <w:sz w:val="22"/>
          <w:szCs w:val="22"/>
          <w:lang w:val="en"/>
        </w:rPr>
        <w:t xml:space="preserve"> and</w:t>
      </w:r>
      <w:r>
        <w:rPr>
          <w:rFonts w:asciiTheme="minorHAnsi" w:hAnsiTheme="minorHAnsi"/>
          <w:color w:val="auto"/>
          <w:sz w:val="22"/>
          <w:szCs w:val="22"/>
        </w:rPr>
        <w:t xml:space="preserve"> the signature requirements for NOPTA notification and nominations forms</w:t>
      </w:r>
      <w:r w:rsidR="00825FB6">
        <w:rPr>
          <w:rFonts w:asciiTheme="minorHAnsi" w:hAnsiTheme="minorHAnsi"/>
          <w:color w:val="auto"/>
          <w:sz w:val="22"/>
          <w:szCs w:val="22"/>
        </w:rPr>
        <w:t>, transfer and dealing applications</w:t>
      </w:r>
      <w:r>
        <w:rPr>
          <w:rFonts w:asciiTheme="minorHAnsi" w:hAnsiTheme="minorHAnsi"/>
          <w:color w:val="auto"/>
          <w:sz w:val="22"/>
          <w:szCs w:val="22"/>
        </w:rPr>
        <w:t>;</w:t>
      </w:r>
    </w:p>
    <w:p w14:paraId="3020AAA7" w14:textId="3700894B" w:rsidR="009075DB" w:rsidRDefault="00BE0DE8" w:rsidP="00C43793">
      <w:pPr>
        <w:pStyle w:val="ListParagraph"/>
        <w:numPr>
          <w:ilvl w:val="1"/>
          <w:numId w:val="3"/>
        </w:numPr>
        <w:spacing w:after="120"/>
        <w:ind w:left="851" w:hanging="425"/>
        <w:contextualSpacing w:val="0"/>
        <w:rPr>
          <w:rFonts w:asciiTheme="minorHAnsi" w:hAnsiTheme="minorHAnsi"/>
          <w:color w:val="auto"/>
          <w:sz w:val="22"/>
          <w:szCs w:val="22"/>
        </w:rPr>
      </w:pPr>
      <w:r>
        <w:rPr>
          <w:rFonts w:asciiTheme="minorHAnsi" w:hAnsiTheme="minorHAnsi"/>
          <w:color w:val="auto"/>
          <w:sz w:val="22"/>
          <w:szCs w:val="22"/>
        </w:rPr>
        <w:t>updated guideline</w:t>
      </w:r>
      <w:r w:rsidR="009075DB">
        <w:rPr>
          <w:rFonts w:asciiTheme="minorHAnsi" w:hAnsiTheme="minorHAnsi"/>
          <w:color w:val="auto"/>
          <w:sz w:val="22"/>
          <w:szCs w:val="22"/>
        </w:rPr>
        <w:t>s on the:</w:t>
      </w:r>
    </w:p>
    <w:p w14:paraId="20A61610" w14:textId="5C6B8F7D" w:rsidR="00BE0DE8" w:rsidRDefault="009075DB" w:rsidP="00EE7F7C">
      <w:pPr>
        <w:pStyle w:val="ListParagraph"/>
        <w:numPr>
          <w:ilvl w:val="2"/>
          <w:numId w:val="3"/>
        </w:numPr>
        <w:ind w:left="1276" w:hanging="425"/>
        <w:contextualSpacing w:val="0"/>
        <w:rPr>
          <w:rFonts w:asciiTheme="minorHAnsi" w:hAnsiTheme="minorHAnsi"/>
          <w:color w:val="auto"/>
          <w:sz w:val="22"/>
          <w:szCs w:val="22"/>
        </w:rPr>
      </w:pPr>
      <w:r>
        <w:rPr>
          <w:rFonts w:asciiTheme="minorHAnsi" w:hAnsiTheme="minorHAnsi"/>
          <w:color w:val="auto"/>
          <w:sz w:val="22"/>
          <w:szCs w:val="22"/>
        </w:rPr>
        <w:t>G</w:t>
      </w:r>
      <w:r w:rsidR="00BE0DE8">
        <w:rPr>
          <w:rFonts w:asciiTheme="minorHAnsi" w:hAnsiTheme="minorHAnsi"/>
          <w:color w:val="auto"/>
          <w:sz w:val="22"/>
          <w:szCs w:val="22"/>
        </w:rPr>
        <w:t>rant and administration of retention leases</w:t>
      </w:r>
      <w:r w:rsidR="00D33E86">
        <w:rPr>
          <w:rFonts w:asciiTheme="minorHAnsi" w:hAnsiTheme="minorHAnsi"/>
          <w:color w:val="auto"/>
          <w:sz w:val="22"/>
          <w:szCs w:val="22"/>
        </w:rPr>
        <w:t xml:space="preserve"> </w:t>
      </w:r>
    </w:p>
    <w:p w14:paraId="552F1D3D" w14:textId="53824514" w:rsidR="00351ECA" w:rsidRPr="00EE7F7C" w:rsidRDefault="00351ECA" w:rsidP="00EE7F7C">
      <w:pPr>
        <w:pStyle w:val="ListParagraph"/>
        <w:numPr>
          <w:ilvl w:val="2"/>
          <w:numId w:val="3"/>
        </w:numPr>
        <w:ind w:left="1276" w:hanging="425"/>
        <w:contextualSpacing w:val="0"/>
        <w:rPr>
          <w:rFonts w:asciiTheme="minorHAnsi" w:hAnsiTheme="minorHAnsi"/>
          <w:color w:val="auto"/>
          <w:sz w:val="22"/>
          <w:szCs w:val="22"/>
        </w:rPr>
      </w:pPr>
      <w:r w:rsidRPr="00EE7F7C">
        <w:rPr>
          <w:rFonts w:asciiTheme="minorHAnsi" w:hAnsiTheme="minorHAnsi"/>
          <w:color w:val="auto"/>
          <w:sz w:val="22"/>
          <w:szCs w:val="22"/>
          <w:lang w:val="en"/>
        </w:rPr>
        <w:t>Special Prospecting Authorities, Access Authorities and Scientific Investigation Consent</w:t>
      </w:r>
      <w:r w:rsidR="00D33E86" w:rsidRPr="00EE7F7C">
        <w:rPr>
          <w:rFonts w:asciiTheme="minorHAnsi" w:hAnsiTheme="minorHAnsi"/>
          <w:color w:val="auto"/>
          <w:sz w:val="22"/>
          <w:szCs w:val="22"/>
          <w:lang w:val="en"/>
        </w:rPr>
        <w:t xml:space="preserve"> </w:t>
      </w:r>
    </w:p>
    <w:p w14:paraId="7661C7A5" w14:textId="796B4B35" w:rsidR="00C84B81" w:rsidRPr="00852951" w:rsidRDefault="009075DB" w:rsidP="00EE7F7C">
      <w:pPr>
        <w:pStyle w:val="ListParagraph"/>
        <w:numPr>
          <w:ilvl w:val="2"/>
          <w:numId w:val="3"/>
        </w:numPr>
        <w:spacing w:after="120"/>
        <w:ind w:left="1276" w:hanging="425"/>
        <w:contextualSpacing w:val="0"/>
        <w:rPr>
          <w:rFonts w:asciiTheme="minorHAnsi" w:hAnsiTheme="minorHAnsi"/>
          <w:color w:val="auto"/>
          <w:sz w:val="22"/>
          <w:szCs w:val="22"/>
        </w:rPr>
      </w:pPr>
      <w:r>
        <w:rPr>
          <w:rFonts w:asciiTheme="minorHAnsi" w:hAnsiTheme="minorHAnsi"/>
          <w:color w:val="auto"/>
          <w:sz w:val="22"/>
          <w:szCs w:val="22"/>
        </w:rPr>
        <w:t>O</w:t>
      </w:r>
      <w:r w:rsidR="00C84B81" w:rsidRPr="00D33E86">
        <w:rPr>
          <w:rFonts w:asciiTheme="minorHAnsi" w:hAnsiTheme="minorHAnsi"/>
          <w:color w:val="auto"/>
          <w:sz w:val="22"/>
          <w:szCs w:val="22"/>
        </w:rPr>
        <w:t xml:space="preserve">ffshore </w:t>
      </w:r>
      <w:r w:rsidR="00D33E86" w:rsidRPr="00D33E86">
        <w:rPr>
          <w:rFonts w:asciiTheme="minorHAnsi" w:hAnsiTheme="minorHAnsi"/>
          <w:color w:val="auto"/>
          <w:sz w:val="22"/>
          <w:szCs w:val="22"/>
        </w:rPr>
        <w:t>p</w:t>
      </w:r>
      <w:r w:rsidR="00C84B81" w:rsidRPr="00D33E86">
        <w:rPr>
          <w:rFonts w:asciiTheme="minorHAnsi" w:hAnsiTheme="minorHAnsi"/>
          <w:color w:val="auto"/>
          <w:sz w:val="22"/>
          <w:szCs w:val="22"/>
        </w:rPr>
        <w:t xml:space="preserve">etroleum </w:t>
      </w:r>
      <w:r w:rsidR="00D33E86" w:rsidRPr="00D33E86">
        <w:rPr>
          <w:rFonts w:asciiTheme="minorHAnsi" w:hAnsiTheme="minorHAnsi"/>
          <w:color w:val="auto"/>
          <w:sz w:val="22"/>
          <w:szCs w:val="22"/>
        </w:rPr>
        <w:t>d</w:t>
      </w:r>
      <w:r w:rsidR="00C84B81" w:rsidRPr="00D33E86">
        <w:rPr>
          <w:rFonts w:asciiTheme="minorHAnsi" w:hAnsiTheme="minorHAnsi"/>
          <w:color w:val="auto"/>
          <w:sz w:val="22"/>
          <w:szCs w:val="22"/>
        </w:rPr>
        <w:t xml:space="preserve">eclaration of a </w:t>
      </w:r>
      <w:r w:rsidR="00D33E86" w:rsidRPr="00D33E86">
        <w:rPr>
          <w:rFonts w:asciiTheme="minorHAnsi" w:hAnsiTheme="minorHAnsi"/>
          <w:color w:val="auto"/>
          <w:sz w:val="22"/>
          <w:szCs w:val="22"/>
        </w:rPr>
        <w:t>l</w:t>
      </w:r>
      <w:r w:rsidR="00C84B81" w:rsidRPr="00D33E86">
        <w:rPr>
          <w:rFonts w:asciiTheme="minorHAnsi" w:hAnsiTheme="minorHAnsi"/>
          <w:color w:val="auto"/>
          <w:sz w:val="22"/>
          <w:szCs w:val="22"/>
        </w:rPr>
        <w:t xml:space="preserve">ocation </w:t>
      </w:r>
      <w:r w:rsidR="00D33E86" w:rsidRPr="00D33E86">
        <w:rPr>
          <w:rFonts w:asciiTheme="minorHAnsi" w:hAnsiTheme="minorHAnsi"/>
          <w:color w:val="auto"/>
          <w:sz w:val="22"/>
          <w:szCs w:val="22"/>
        </w:rPr>
        <w:t>process</w:t>
      </w:r>
      <w:r w:rsidR="00D33E86">
        <w:rPr>
          <w:rFonts w:asciiTheme="minorHAnsi" w:hAnsiTheme="minorHAnsi"/>
          <w:color w:val="auto"/>
          <w:sz w:val="22"/>
          <w:szCs w:val="22"/>
        </w:rPr>
        <w:t>.</w:t>
      </w:r>
      <w:r w:rsidR="00C84B81" w:rsidRPr="00D33E86">
        <w:rPr>
          <w:rFonts w:asciiTheme="minorHAnsi" w:hAnsiTheme="minorHAnsi"/>
          <w:color w:val="auto"/>
          <w:sz w:val="22"/>
          <w:szCs w:val="22"/>
        </w:rPr>
        <w:t xml:space="preserve">  </w:t>
      </w:r>
    </w:p>
    <w:p w14:paraId="0B817FA9" w14:textId="71CFB189" w:rsidR="00351ECA" w:rsidRPr="004638A9" w:rsidRDefault="00BE0DE8" w:rsidP="00C43793">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Continued to promote </w:t>
      </w:r>
      <w:r w:rsidR="00351ECA" w:rsidRPr="004638A9">
        <w:rPr>
          <w:rFonts w:asciiTheme="minorHAnsi" w:hAnsiTheme="minorHAnsi"/>
          <w:color w:val="auto"/>
          <w:sz w:val="22"/>
          <w:szCs w:val="22"/>
        </w:rPr>
        <w:t>NOPTA’s monthly performance statistics or ‘dashboard summaries’</w:t>
      </w:r>
      <w:r w:rsidR="00351ECA">
        <w:rPr>
          <w:rFonts w:asciiTheme="minorHAnsi" w:hAnsiTheme="minorHAnsi"/>
          <w:color w:val="auto"/>
          <w:sz w:val="22"/>
          <w:szCs w:val="22"/>
        </w:rPr>
        <w:t xml:space="preserve">.  These include graphs and figures on the </w:t>
      </w:r>
      <w:r w:rsidR="00566BCB">
        <w:rPr>
          <w:rFonts w:asciiTheme="minorHAnsi" w:hAnsiTheme="minorHAnsi"/>
          <w:color w:val="auto"/>
          <w:sz w:val="22"/>
          <w:szCs w:val="22"/>
        </w:rPr>
        <w:t>number</w:t>
      </w:r>
      <w:r w:rsidR="00351ECA">
        <w:rPr>
          <w:rFonts w:asciiTheme="minorHAnsi" w:hAnsiTheme="minorHAnsi"/>
          <w:color w:val="auto"/>
          <w:sz w:val="22"/>
          <w:szCs w:val="22"/>
        </w:rPr>
        <w:t xml:space="preserve"> of applications and </w:t>
      </w:r>
      <w:r w:rsidR="00566BCB">
        <w:rPr>
          <w:rFonts w:asciiTheme="minorHAnsi" w:hAnsiTheme="minorHAnsi"/>
          <w:color w:val="auto"/>
          <w:sz w:val="22"/>
          <w:szCs w:val="22"/>
        </w:rPr>
        <w:t xml:space="preserve">amount of </w:t>
      </w:r>
      <w:r w:rsidR="00351ECA">
        <w:rPr>
          <w:rFonts w:asciiTheme="minorHAnsi" w:hAnsiTheme="minorHAnsi"/>
          <w:color w:val="auto"/>
          <w:sz w:val="22"/>
          <w:szCs w:val="22"/>
        </w:rPr>
        <w:t xml:space="preserve">data received and processed; </w:t>
      </w:r>
      <w:r w:rsidR="00351ECA" w:rsidRPr="00852951">
        <w:rPr>
          <w:rFonts w:asciiTheme="minorHAnsi" w:hAnsiTheme="minorHAnsi"/>
          <w:color w:val="auto"/>
          <w:sz w:val="22"/>
          <w:szCs w:val="22"/>
        </w:rPr>
        <w:t xml:space="preserve">the number of applications with each Joint </w:t>
      </w:r>
      <w:r w:rsidR="00D33E86">
        <w:rPr>
          <w:rFonts w:asciiTheme="minorHAnsi" w:hAnsiTheme="minorHAnsi"/>
          <w:color w:val="auto"/>
          <w:sz w:val="22"/>
          <w:szCs w:val="22"/>
        </w:rPr>
        <w:t>A</w:t>
      </w:r>
      <w:r w:rsidR="00351ECA" w:rsidRPr="00852951">
        <w:rPr>
          <w:rFonts w:asciiTheme="minorHAnsi" w:hAnsiTheme="minorHAnsi"/>
          <w:color w:val="auto"/>
          <w:sz w:val="22"/>
          <w:szCs w:val="22"/>
        </w:rPr>
        <w:t xml:space="preserve">uthority member; NOPTA’s finances; the number of data submissions outstanding and the number of </w:t>
      </w:r>
      <w:r w:rsidR="00566BCB">
        <w:rPr>
          <w:rFonts w:asciiTheme="minorHAnsi" w:hAnsiTheme="minorHAnsi"/>
          <w:color w:val="auto"/>
          <w:sz w:val="22"/>
          <w:szCs w:val="22"/>
        </w:rPr>
        <w:t xml:space="preserve">offshore </w:t>
      </w:r>
      <w:r w:rsidR="00351ECA" w:rsidRPr="00852951">
        <w:rPr>
          <w:rFonts w:asciiTheme="minorHAnsi" w:hAnsiTheme="minorHAnsi"/>
          <w:color w:val="auto"/>
          <w:sz w:val="22"/>
          <w:szCs w:val="22"/>
        </w:rPr>
        <w:t>wells and surveys completed per year.</w:t>
      </w:r>
    </w:p>
    <w:p w14:paraId="020B295A" w14:textId="0366C9D8" w:rsidR="00351ECA" w:rsidRPr="00C43793"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sidRPr="00852951">
        <w:rPr>
          <w:rFonts w:asciiTheme="minorHAnsi" w:hAnsiTheme="minorHAnsi"/>
          <w:color w:val="auto"/>
          <w:sz w:val="22"/>
          <w:szCs w:val="22"/>
        </w:rPr>
        <w:t>Consulted stakeholders to identify high-level requirements for the next development phase of the National Electronic Application Tracking system (NEATS) –</w:t>
      </w:r>
      <w:r w:rsidR="00D162BB">
        <w:rPr>
          <w:rFonts w:asciiTheme="minorHAnsi" w:hAnsiTheme="minorHAnsi"/>
          <w:color w:val="auto"/>
          <w:sz w:val="22"/>
          <w:szCs w:val="22"/>
        </w:rPr>
        <w:t xml:space="preserve"> </w:t>
      </w:r>
      <w:r w:rsidRPr="00852951">
        <w:rPr>
          <w:rFonts w:asciiTheme="minorHAnsi" w:hAnsiTheme="minorHAnsi"/>
          <w:color w:val="auto"/>
          <w:sz w:val="22"/>
          <w:szCs w:val="22"/>
        </w:rPr>
        <w:t xml:space="preserve">the </w:t>
      </w:r>
      <w:r w:rsidRPr="00852951">
        <w:rPr>
          <w:rFonts w:asciiTheme="minorHAnsi" w:hAnsiTheme="minorHAnsi"/>
          <w:i/>
          <w:color w:val="auto"/>
          <w:sz w:val="22"/>
          <w:szCs w:val="22"/>
        </w:rPr>
        <w:t>NEATS 2020 project</w:t>
      </w:r>
      <w:r w:rsidR="00C43793">
        <w:rPr>
          <w:rFonts w:asciiTheme="minorHAnsi" w:hAnsiTheme="minorHAnsi"/>
          <w:i/>
          <w:color w:val="auto"/>
          <w:sz w:val="22"/>
          <w:szCs w:val="22"/>
        </w:rPr>
        <w:t xml:space="preserve"> </w:t>
      </w:r>
      <w:r w:rsidR="00C43793">
        <w:rPr>
          <w:rFonts w:asciiTheme="minorHAnsi" w:hAnsiTheme="minorHAnsi"/>
          <w:color w:val="auto"/>
          <w:sz w:val="22"/>
          <w:szCs w:val="22"/>
        </w:rPr>
        <w:t>(</w:t>
      </w:r>
      <w:r w:rsidR="00C43793" w:rsidRPr="00C43793">
        <w:rPr>
          <w:rFonts w:asciiTheme="minorHAnsi" w:hAnsiTheme="minorHAnsi"/>
          <w:color w:val="auto"/>
          <w:sz w:val="22"/>
          <w:szCs w:val="22"/>
        </w:rPr>
        <w:t xml:space="preserve">see </w:t>
      </w:r>
      <w:hyperlink r:id="rId17" w:tooltip="NOPTA website: NEATS 2020" w:history="1">
        <w:r w:rsidR="00C43793" w:rsidRPr="00525C9D">
          <w:rPr>
            <w:rStyle w:val="Hyperlink"/>
            <w:rFonts w:asciiTheme="minorHAnsi" w:hAnsiTheme="minorHAnsi"/>
            <w:sz w:val="22"/>
            <w:szCs w:val="22"/>
          </w:rPr>
          <w:t>http://www.nopta.gov.au/media/neats2020/index.html</w:t>
        </w:r>
      </w:hyperlink>
      <w:r w:rsidR="009075DB">
        <w:rPr>
          <w:rFonts w:asciiTheme="minorHAnsi" w:hAnsiTheme="minorHAnsi"/>
          <w:sz w:val="22"/>
          <w:szCs w:val="22"/>
        </w:rPr>
        <w:t>)</w:t>
      </w:r>
      <w:r w:rsidRPr="00C43793">
        <w:rPr>
          <w:rFonts w:asciiTheme="minorHAnsi" w:hAnsiTheme="minorHAnsi"/>
          <w:color w:val="auto"/>
          <w:sz w:val="22"/>
          <w:szCs w:val="22"/>
        </w:rPr>
        <w:t xml:space="preserve">. </w:t>
      </w:r>
    </w:p>
    <w:p w14:paraId="013E0298" w14:textId="77777777" w:rsidR="00351ECA"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Ensured compliance of all </w:t>
      </w:r>
      <w:r w:rsidRPr="004638A9">
        <w:rPr>
          <w:rFonts w:asciiTheme="minorHAnsi" w:hAnsiTheme="minorHAnsi"/>
          <w:color w:val="auto"/>
          <w:sz w:val="22"/>
          <w:szCs w:val="22"/>
        </w:rPr>
        <w:t>NOPTA public documents with Australian government web accessibility guidelines</w:t>
      </w:r>
      <w:r>
        <w:rPr>
          <w:rFonts w:asciiTheme="minorHAnsi" w:hAnsiTheme="minorHAnsi"/>
          <w:color w:val="auto"/>
          <w:sz w:val="22"/>
          <w:szCs w:val="22"/>
        </w:rPr>
        <w:t>.</w:t>
      </w:r>
    </w:p>
    <w:p w14:paraId="42F62ABB" w14:textId="66B6224C" w:rsidR="00351ECA" w:rsidRDefault="00351ECA" w:rsidP="00C43793">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Participated in APPEA’s 2017 annual conference.  </w:t>
      </w:r>
      <w:r w:rsidR="00654C58">
        <w:rPr>
          <w:rFonts w:asciiTheme="minorHAnsi" w:hAnsiTheme="minorHAnsi"/>
          <w:color w:val="auto"/>
          <w:sz w:val="22"/>
          <w:szCs w:val="22"/>
        </w:rPr>
        <w:t xml:space="preserve">Our </w:t>
      </w:r>
      <w:r>
        <w:rPr>
          <w:rFonts w:asciiTheme="minorHAnsi" w:hAnsiTheme="minorHAnsi"/>
          <w:color w:val="auto"/>
          <w:sz w:val="22"/>
          <w:szCs w:val="22"/>
        </w:rPr>
        <w:t>staff were available at a dedicated booth to discuss any general or specific issues.</w:t>
      </w:r>
    </w:p>
    <w:p w14:paraId="78D22A88" w14:textId="77777777" w:rsidR="00351ECA" w:rsidRPr="00A37C75" w:rsidRDefault="00351ECA" w:rsidP="00351ECA">
      <w:pPr>
        <w:pStyle w:val="Heading2"/>
        <w:rPr>
          <w:b/>
        </w:rPr>
      </w:pPr>
      <w:bookmarkStart w:id="23" w:name="_Toc497215476"/>
      <w:r>
        <w:rPr>
          <w:b/>
        </w:rPr>
        <w:lastRenderedPageBreak/>
        <w:t>KPI</w:t>
      </w:r>
      <w:r w:rsidRPr="00A37C75">
        <w:rPr>
          <w:b/>
        </w:rPr>
        <w:t xml:space="preserve"> 3</w:t>
      </w:r>
      <w:r>
        <w:rPr>
          <w:b/>
        </w:rPr>
        <w:t>: A</w:t>
      </w:r>
      <w:r w:rsidRPr="00A37C75">
        <w:rPr>
          <w:b/>
        </w:rPr>
        <w:t xml:space="preserve">ctions undertaken by </w:t>
      </w:r>
      <w:r>
        <w:rPr>
          <w:b/>
        </w:rPr>
        <w:t>regulators</w:t>
      </w:r>
      <w:r w:rsidRPr="00A37C75">
        <w:rPr>
          <w:b/>
        </w:rPr>
        <w:t xml:space="preserve"> are proportionate to the regulatory risk being managed</w:t>
      </w:r>
      <w:bookmarkEnd w:id="23"/>
    </w:p>
    <w:p w14:paraId="31B69200" w14:textId="77777777" w:rsidR="00351ECA" w:rsidRDefault="00351ECA" w:rsidP="000D3731">
      <w:pPr>
        <w:pStyle w:val="Heading3"/>
      </w:pPr>
      <w:bookmarkStart w:id="24" w:name="_Toc497215477"/>
      <w:r>
        <w:t>KPI Expectations</w:t>
      </w:r>
      <w:bookmarkEnd w:id="24"/>
    </w:p>
    <w:p w14:paraId="440BE7BC" w14:textId="2FA51797" w:rsidR="00351ECA" w:rsidRPr="00FF2FAE" w:rsidRDefault="00566BCB" w:rsidP="00351ECA">
      <w:pPr>
        <w:spacing w:line="240" w:lineRule="auto"/>
      </w:pPr>
      <w:r>
        <w:t>A risk-based approach</w:t>
      </w:r>
      <w:r w:rsidR="00351ECA">
        <w:t xml:space="preserve"> is used to promote the most efficient use of resources and improve the effectiveness of the regulatory framework.  This is achieved through minimising burden on those who are voluntarily compliant and ensuring that enforcement action is proportionate and undertaken only when necessary. </w:t>
      </w:r>
    </w:p>
    <w:p w14:paraId="17C5FA0E" w14:textId="77777777" w:rsidR="00351ECA" w:rsidRDefault="00351ECA" w:rsidP="000D3731">
      <w:pPr>
        <w:pStyle w:val="Heading3"/>
      </w:pPr>
      <w:bookmarkStart w:id="25" w:name="_Toc497215478"/>
      <w:r>
        <w:t>NOPTA’s Approach</w:t>
      </w:r>
      <w:bookmarkEnd w:id="25"/>
      <w:r w:rsidRPr="00686DDC">
        <w:t xml:space="preserve"> </w:t>
      </w:r>
    </w:p>
    <w:p w14:paraId="2116AE00" w14:textId="4B310E45" w:rsidR="00351ECA" w:rsidRDefault="00351ECA" w:rsidP="00351ECA">
      <w:pPr>
        <w:spacing w:line="240" w:lineRule="auto"/>
      </w:pPr>
      <w:r w:rsidRPr="0073441D">
        <w:t>In general</w:t>
      </w:r>
      <w:r>
        <w:t>, the</w:t>
      </w:r>
      <w:r w:rsidR="00566BCB">
        <w:t xml:space="preserve"> offshore petroleum</w:t>
      </w:r>
      <w:r>
        <w:t xml:space="preserve"> industry is highly compliant with its legislative requirements</w:t>
      </w:r>
      <w:r w:rsidR="00D33E86">
        <w:t xml:space="preserve"> and</w:t>
      </w:r>
      <w:r>
        <w:t xml:space="preserve"> proactive in engaging NOPTA early on compliance issues</w:t>
      </w:r>
      <w:r w:rsidR="00526B97">
        <w:t xml:space="preserve">. </w:t>
      </w:r>
      <w:r w:rsidR="00654C58">
        <w:t xml:space="preserve"> We </w:t>
      </w:r>
      <w:r>
        <w:t xml:space="preserve">encourage early engagement and ensure </w:t>
      </w:r>
      <w:r w:rsidR="00654C58">
        <w:t xml:space="preserve">our </w:t>
      </w:r>
      <w:r>
        <w:t xml:space="preserve">actions are transparent, flexible and consistent as appropriate.  </w:t>
      </w:r>
      <w:r w:rsidR="00654C58">
        <w:t xml:space="preserve">We </w:t>
      </w:r>
      <w:r>
        <w:t>ha</w:t>
      </w:r>
      <w:r w:rsidR="00654C58">
        <w:t>ve</w:t>
      </w:r>
      <w:r>
        <w:t xml:space="preserve"> a strong appreciation of the industry </w:t>
      </w:r>
      <w:r w:rsidR="00654C58">
        <w:t xml:space="preserve">we </w:t>
      </w:r>
      <w:r>
        <w:t xml:space="preserve">regulate.  Each team in NOPTA contributes to compliance activities </w:t>
      </w:r>
      <w:r w:rsidR="00566BCB">
        <w:t>by educating and engaging the</w:t>
      </w:r>
      <w:r>
        <w:t xml:space="preserve"> relevant stakeholders.</w:t>
      </w:r>
    </w:p>
    <w:p w14:paraId="7E1DF157" w14:textId="77777777" w:rsidR="00351ECA" w:rsidRDefault="00351ECA" w:rsidP="000D3731">
      <w:pPr>
        <w:pStyle w:val="Heading3"/>
      </w:pPr>
      <w:bookmarkStart w:id="26" w:name="_Toc497215479"/>
      <w:r>
        <w:t>Results</w:t>
      </w:r>
      <w:bookmarkEnd w:id="26"/>
    </w:p>
    <w:p w14:paraId="5DC09169" w14:textId="50B3F9D3" w:rsidR="00351ECA" w:rsidRDefault="00351ECA"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The vast majority</w:t>
      </w:r>
      <w:r w:rsidR="00566BCB">
        <w:rPr>
          <w:rFonts w:asciiTheme="minorHAnsi" w:hAnsiTheme="minorHAnsi"/>
          <w:color w:val="auto"/>
          <w:sz w:val="22"/>
          <w:szCs w:val="22"/>
        </w:rPr>
        <w:t xml:space="preserve">, 96 per cent, </w:t>
      </w:r>
      <w:r>
        <w:rPr>
          <w:rFonts w:asciiTheme="minorHAnsi" w:hAnsiTheme="minorHAnsi"/>
          <w:color w:val="auto"/>
          <w:sz w:val="22"/>
          <w:szCs w:val="22"/>
        </w:rPr>
        <w:t xml:space="preserve">of respondents to the </w:t>
      </w:r>
      <w:r w:rsidR="00566BCB">
        <w:rPr>
          <w:rFonts w:asciiTheme="minorHAnsi" w:hAnsiTheme="minorHAnsi"/>
          <w:color w:val="auto"/>
          <w:sz w:val="22"/>
          <w:szCs w:val="22"/>
        </w:rPr>
        <w:t xml:space="preserve">survey, </w:t>
      </w:r>
      <w:r>
        <w:rPr>
          <w:rFonts w:asciiTheme="minorHAnsi" w:hAnsiTheme="minorHAnsi"/>
          <w:color w:val="auto"/>
          <w:sz w:val="22"/>
          <w:szCs w:val="22"/>
        </w:rPr>
        <w:t xml:space="preserve">considered the time and effort their company’s spend on complying with NOPTA administered functions is reasonable, relative to the regulatory risk </w:t>
      </w:r>
      <w:r w:rsidR="007036FF">
        <w:rPr>
          <w:rFonts w:asciiTheme="minorHAnsi" w:hAnsiTheme="minorHAnsi"/>
          <w:color w:val="auto"/>
          <w:sz w:val="22"/>
          <w:szCs w:val="22"/>
        </w:rPr>
        <w:t xml:space="preserve">we </w:t>
      </w:r>
      <w:r>
        <w:rPr>
          <w:rFonts w:asciiTheme="minorHAnsi" w:hAnsiTheme="minorHAnsi"/>
          <w:color w:val="auto"/>
          <w:sz w:val="22"/>
          <w:szCs w:val="22"/>
        </w:rPr>
        <w:t xml:space="preserve">manage. </w:t>
      </w:r>
    </w:p>
    <w:p w14:paraId="3F975E42" w14:textId="1AABF14E" w:rsidR="00351ECA" w:rsidRPr="00852951" w:rsidRDefault="00351ECA" w:rsidP="00525C9D">
      <w:pPr>
        <w:pStyle w:val="ListParagraph"/>
        <w:numPr>
          <w:ilvl w:val="0"/>
          <w:numId w:val="2"/>
        </w:numPr>
        <w:spacing w:after="120"/>
        <w:ind w:left="426" w:hanging="426"/>
        <w:contextualSpacing w:val="0"/>
        <w:rPr>
          <w:rFonts w:asciiTheme="minorHAnsi" w:hAnsiTheme="minorHAnsi"/>
          <w:color w:val="auto"/>
          <w:sz w:val="22"/>
          <w:szCs w:val="22"/>
        </w:rPr>
      </w:pPr>
      <w:r w:rsidRPr="00852951">
        <w:rPr>
          <w:rFonts w:asciiTheme="minorHAnsi" w:hAnsiTheme="minorHAnsi"/>
          <w:color w:val="auto"/>
          <w:sz w:val="22"/>
          <w:szCs w:val="22"/>
        </w:rPr>
        <w:t>The majority</w:t>
      </w:r>
      <w:r w:rsidRPr="00EE7F7C">
        <w:rPr>
          <w:vertAlign w:val="superscript"/>
        </w:rPr>
        <w:footnoteReference w:id="5"/>
      </w:r>
      <w:r w:rsidRPr="00852951">
        <w:rPr>
          <w:rFonts w:asciiTheme="minorHAnsi" w:hAnsiTheme="minorHAnsi"/>
          <w:color w:val="auto"/>
          <w:sz w:val="22"/>
          <w:szCs w:val="22"/>
        </w:rPr>
        <w:t xml:space="preserve"> of non-titleholder respondents to the survey considered that </w:t>
      </w:r>
      <w:r w:rsidR="007036FF">
        <w:rPr>
          <w:rFonts w:asciiTheme="minorHAnsi" w:hAnsiTheme="minorHAnsi"/>
          <w:color w:val="auto"/>
          <w:sz w:val="22"/>
          <w:szCs w:val="22"/>
        </w:rPr>
        <w:t>our</w:t>
      </w:r>
      <w:r w:rsidR="007036FF" w:rsidRPr="00852951">
        <w:rPr>
          <w:rFonts w:asciiTheme="minorHAnsi" w:hAnsiTheme="minorHAnsi"/>
          <w:color w:val="auto"/>
          <w:sz w:val="22"/>
          <w:szCs w:val="22"/>
        </w:rPr>
        <w:t xml:space="preserve"> </w:t>
      </w:r>
      <w:r w:rsidRPr="00852951">
        <w:rPr>
          <w:rFonts w:asciiTheme="minorHAnsi" w:hAnsiTheme="minorHAnsi"/>
          <w:color w:val="auto"/>
          <w:sz w:val="22"/>
          <w:szCs w:val="22"/>
        </w:rPr>
        <w:t xml:space="preserve">decisions are always or often transparent, justified, consistent and predictable.  </w:t>
      </w:r>
    </w:p>
    <w:p w14:paraId="2D07E025" w14:textId="3BC4D217" w:rsidR="00351ECA" w:rsidRPr="0047237C" w:rsidRDefault="00351ECA" w:rsidP="00525C9D">
      <w:pPr>
        <w:pStyle w:val="ListParagraph"/>
        <w:numPr>
          <w:ilvl w:val="0"/>
          <w:numId w:val="2"/>
        </w:numPr>
        <w:spacing w:after="120"/>
        <w:ind w:left="426" w:hanging="426"/>
        <w:contextualSpacing w:val="0"/>
        <w:rPr>
          <w:rFonts w:asciiTheme="minorHAnsi" w:hAnsiTheme="minorHAnsi"/>
          <w:color w:val="auto"/>
          <w:sz w:val="22"/>
          <w:szCs w:val="22"/>
        </w:rPr>
      </w:pPr>
      <w:r w:rsidRPr="0047237C">
        <w:rPr>
          <w:rFonts w:asciiTheme="minorHAnsi" w:hAnsiTheme="minorHAnsi"/>
          <w:color w:val="auto"/>
          <w:sz w:val="22"/>
          <w:szCs w:val="22"/>
        </w:rPr>
        <w:t xml:space="preserve">In </w:t>
      </w:r>
      <w:r w:rsidR="007036FF" w:rsidRPr="0047237C">
        <w:rPr>
          <w:rFonts w:asciiTheme="minorHAnsi" w:hAnsiTheme="minorHAnsi"/>
          <w:color w:val="auto"/>
          <w:sz w:val="22"/>
          <w:szCs w:val="22"/>
        </w:rPr>
        <w:t>2017,</w:t>
      </w:r>
      <w:r w:rsidRPr="0047237C">
        <w:rPr>
          <w:rFonts w:asciiTheme="minorHAnsi" w:hAnsiTheme="minorHAnsi"/>
          <w:color w:val="auto"/>
          <w:sz w:val="22"/>
          <w:szCs w:val="22"/>
        </w:rPr>
        <w:t xml:space="preserve"> </w:t>
      </w:r>
      <w:r w:rsidR="007036FF">
        <w:rPr>
          <w:rFonts w:asciiTheme="minorHAnsi" w:hAnsiTheme="minorHAnsi"/>
          <w:color w:val="auto"/>
          <w:sz w:val="22"/>
          <w:szCs w:val="22"/>
        </w:rPr>
        <w:t xml:space="preserve">we </w:t>
      </w:r>
      <w:r w:rsidR="007036FF" w:rsidRPr="0047237C">
        <w:rPr>
          <w:rFonts w:asciiTheme="minorHAnsi" w:hAnsiTheme="minorHAnsi"/>
          <w:color w:val="auto"/>
          <w:sz w:val="22"/>
          <w:szCs w:val="22"/>
        </w:rPr>
        <w:t xml:space="preserve">developed </w:t>
      </w:r>
      <w:r w:rsidRPr="0047237C">
        <w:rPr>
          <w:rFonts w:asciiTheme="minorHAnsi" w:hAnsiTheme="minorHAnsi"/>
          <w:color w:val="auto"/>
          <w:sz w:val="22"/>
          <w:szCs w:val="22"/>
        </w:rPr>
        <w:t xml:space="preserve">an internal NOPTA risk plan to complement </w:t>
      </w:r>
      <w:r>
        <w:rPr>
          <w:rFonts w:asciiTheme="minorHAnsi" w:hAnsiTheme="minorHAnsi"/>
          <w:color w:val="auto"/>
          <w:sz w:val="22"/>
          <w:szCs w:val="22"/>
        </w:rPr>
        <w:t>the Resources Division and</w:t>
      </w:r>
      <w:r w:rsidRPr="0047237C">
        <w:rPr>
          <w:rFonts w:asciiTheme="minorHAnsi" w:hAnsiTheme="minorHAnsi"/>
          <w:color w:val="auto"/>
          <w:sz w:val="22"/>
          <w:szCs w:val="22"/>
        </w:rPr>
        <w:t xml:space="preserve"> </w:t>
      </w:r>
      <w:r w:rsidR="007036FF">
        <w:rPr>
          <w:rFonts w:asciiTheme="minorHAnsi" w:hAnsiTheme="minorHAnsi"/>
          <w:color w:val="auto"/>
          <w:sz w:val="22"/>
          <w:szCs w:val="22"/>
        </w:rPr>
        <w:t>department’s</w:t>
      </w:r>
      <w:r w:rsidRPr="0047237C">
        <w:rPr>
          <w:rFonts w:asciiTheme="minorHAnsi" w:hAnsiTheme="minorHAnsi"/>
          <w:color w:val="auto"/>
          <w:sz w:val="22"/>
          <w:szCs w:val="22"/>
        </w:rPr>
        <w:t xml:space="preserve"> risk plans.  </w:t>
      </w:r>
      <w:r w:rsidR="007036FF">
        <w:rPr>
          <w:rFonts w:asciiTheme="minorHAnsi" w:hAnsiTheme="minorHAnsi"/>
          <w:color w:val="auto"/>
          <w:sz w:val="22"/>
          <w:szCs w:val="22"/>
        </w:rPr>
        <w:t>Our</w:t>
      </w:r>
      <w:r w:rsidR="007036FF" w:rsidRPr="0047237C">
        <w:rPr>
          <w:rFonts w:asciiTheme="minorHAnsi" w:hAnsiTheme="minorHAnsi"/>
          <w:color w:val="auto"/>
          <w:sz w:val="22"/>
          <w:szCs w:val="22"/>
        </w:rPr>
        <w:t xml:space="preserve"> </w:t>
      </w:r>
      <w:r w:rsidRPr="0047237C">
        <w:rPr>
          <w:rFonts w:asciiTheme="minorHAnsi" w:hAnsiTheme="minorHAnsi"/>
          <w:color w:val="auto"/>
          <w:sz w:val="22"/>
          <w:szCs w:val="22"/>
        </w:rPr>
        <w:t xml:space="preserve">19 key risks </w:t>
      </w:r>
      <w:r w:rsidR="007036FF">
        <w:rPr>
          <w:rFonts w:asciiTheme="minorHAnsi" w:hAnsiTheme="minorHAnsi"/>
          <w:color w:val="auto"/>
          <w:sz w:val="22"/>
          <w:szCs w:val="22"/>
        </w:rPr>
        <w:t>are</w:t>
      </w:r>
      <w:r w:rsidRPr="0047237C">
        <w:rPr>
          <w:rFonts w:asciiTheme="minorHAnsi" w:hAnsiTheme="minorHAnsi"/>
          <w:color w:val="auto"/>
          <w:sz w:val="22"/>
          <w:szCs w:val="22"/>
        </w:rPr>
        <w:t xml:space="preserve"> categorised as people, process or technological risks.  The majority of residual risks that </w:t>
      </w:r>
      <w:r w:rsidR="007036FF">
        <w:rPr>
          <w:rFonts w:asciiTheme="minorHAnsi" w:hAnsiTheme="minorHAnsi"/>
          <w:color w:val="auto"/>
          <w:sz w:val="22"/>
          <w:szCs w:val="22"/>
        </w:rPr>
        <w:t>we</w:t>
      </w:r>
      <w:r w:rsidR="007036FF" w:rsidRPr="0047237C">
        <w:rPr>
          <w:rFonts w:asciiTheme="minorHAnsi" w:hAnsiTheme="minorHAnsi"/>
          <w:color w:val="auto"/>
          <w:sz w:val="22"/>
          <w:szCs w:val="22"/>
        </w:rPr>
        <w:t xml:space="preserve"> </w:t>
      </w:r>
      <w:r w:rsidRPr="0047237C">
        <w:rPr>
          <w:rFonts w:asciiTheme="minorHAnsi" w:hAnsiTheme="minorHAnsi"/>
          <w:color w:val="auto"/>
          <w:sz w:val="22"/>
          <w:szCs w:val="22"/>
        </w:rPr>
        <w:t xml:space="preserve">face are medium in severity and adequately controlled.  </w:t>
      </w:r>
    </w:p>
    <w:p w14:paraId="222EC0F0" w14:textId="424E76B4" w:rsidR="00351ECA" w:rsidRPr="00E30BD3" w:rsidRDefault="00351ECA" w:rsidP="00525C9D">
      <w:pPr>
        <w:pStyle w:val="ListParagraph"/>
        <w:numPr>
          <w:ilvl w:val="0"/>
          <w:numId w:val="2"/>
        </w:numPr>
        <w:spacing w:after="120"/>
        <w:ind w:left="426" w:hanging="426"/>
        <w:contextualSpacing w:val="0"/>
      </w:pPr>
      <w:r w:rsidRPr="00525C9D">
        <w:rPr>
          <w:rFonts w:asciiTheme="minorHAnsi" w:hAnsiTheme="minorHAnsi"/>
          <w:color w:val="auto"/>
          <w:sz w:val="22"/>
          <w:szCs w:val="22"/>
        </w:rPr>
        <w:t xml:space="preserve">The residual risk ratings reflected the consequence and likelihood of each risk occurring.  Many of the potential consequences are external to NOPTA and could affect the efficiency, governance and reputation of the regulatory regime that </w:t>
      </w:r>
      <w:r w:rsidR="007036FF">
        <w:rPr>
          <w:rFonts w:asciiTheme="minorHAnsi" w:hAnsiTheme="minorHAnsi"/>
          <w:color w:val="auto"/>
          <w:sz w:val="22"/>
          <w:szCs w:val="22"/>
        </w:rPr>
        <w:t>we</w:t>
      </w:r>
      <w:r w:rsidR="007036FF" w:rsidRPr="00525C9D">
        <w:rPr>
          <w:rFonts w:asciiTheme="minorHAnsi" w:hAnsiTheme="minorHAnsi"/>
          <w:color w:val="auto"/>
          <w:sz w:val="22"/>
          <w:szCs w:val="22"/>
        </w:rPr>
        <w:t xml:space="preserve"> </w:t>
      </w:r>
      <w:r w:rsidRPr="00525C9D">
        <w:rPr>
          <w:rFonts w:asciiTheme="minorHAnsi" w:hAnsiTheme="minorHAnsi"/>
          <w:color w:val="auto"/>
          <w:sz w:val="22"/>
          <w:szCs w:val="22"/>
        </w:rPr>
        <w:t>administer.  The</w:t>
      </w:r>
      <w:r w:rsidR="00C43793">
        <w:rPr>
          <w:rFonts w:asciiTheme="minorHAnsi" w:hAnsiTheme="minorHAnsi"/>
          <w:color w:val="auto"/>
          <w:sz w:val="22"/>
          <w:szCs w:val="22"/>
        </w:rPr>
        <w:t xml:space="preserve"> internal</w:t>
      </w:r>
      <w:r w:rsidRPr="00525C9D">
        <w:rPr>
          <w:rFonts w:asciiTheme="minorHAnsi" w:hAnsiTheme="minorHAnsi"/>
          <w:color w:val="auto"/>
          <w:sz w:val="22"/>
          <w:szCs w:val="22"/>
        </w:rPr>
        <w:t xml:space="preserve"> risk plan is a live document, reviewed </w:t>
      </w:r>
      <w:r w:rsidR="001930DF" w:rsidRPr="00525C9D">
        <w:rPr>
          <w:rFonts w:asciiTheme="minorHAnsi" w:hAnsiTheme="minorHAnsi"/>
          <w:color w:val="auto"/>
          <w:sz w:val="22"/>
          <w:szCs w:val="22"/>
        </w:rPr>
        <w:t>quarterly</w:t>
      </w:r>
      <w:r w:rsidRPr="00525C9D">
        <w:rPr>
          <w:rFonts w:asciiTheme="minorHAnsi" w:hAnsiTheme="minorHAnsi"/>
          <w:color w:val="auto"/>
          <w:sz w:val="22"/>
          <w:szCs w:val="22"/>
        </w:rPr>
        <w:t xml:space="preserve"> and updated when new risks or changes to existing risks are identified. </w:t>
      </w:r>
    </w:p>
    <w:p w14:paraId="76AC7453" w14:textId="5FDB7730" w:rsidR="00351ECA" w:rsidRPr="00BC2B8D" w:rsidRDefault="00351ECA" w:rsidP="00525C9D">
      <w:pPr>
        <w:pStyle w:val="ListParagraph"/>
        <w:numPr>
          <w:ilvl w:val="0"/>
          <w:numId w:val="2"/>
        </w:numPr>
        <w:spacing w:after="120"/>
        <w:ind w:left="426" w:hanging="426"/>
        <w:contextualSpacing w:val="0"/>
        <w:rPr>
          <w:rFonts w:asciiTheme="minorHAnsi" w:hAnsiTheme="minorHAnsi"/>
          <w:color w:val="auto"/>
          <w:sz w:val="22"/>
          <w:szCs w:val="22"/>
        </w:rPr>
      </w:pPr>
      <w:r w:rsidRPr="00BC2B8D">
        <w:rPr>
          <w:rFonts w:asciiTheme="minorHAnsi" w:hAnsiTheme="minorHAnsi"/>
          <w:color w:val="auto"/>
          <w:sz w:val="22"/>
          <w:szCs w:val="22"/>
        </w:rPr>
        <w:t xml:space="preserve">NOPTA continued to provide high quality advice to the Joint Authorities as the decision-maker for major petroleum titles.  </w:t>
      </w:r>
      <w:r w:rsidR="00704820">
        <w:rPr>
          <w:rFonts w:asciiTheme="minorHAnsi" w:hAnsiTheme="minorHAnsi"/>
          <w:color w:val="auto"/>
          <w:sz w:val="22"/>
          <w:szCs w:val="22"/>
        </w:rPr>
        <w:t>We</w:t>
      </w:r>
      <w:r w:rsidR="00704820" w:rsidRPr="00BC2B8D">
        <w:rPr>
          <w:rFonts w:asciiTheme="minorHAnsi" w:hAnsiTheme="minorHAnsi"/>
          <w:color w:val="auto"/>
          <w:sz w:val="22"/>
          <w:szCs w:val="22"/>
        </w:rPr>
        <w:t xml:space="preserve"> </w:t>
      </w:r>
      <w:r w:rsidRPr="00BC2B8D">
        <w:rPr>
          <w:rFonts w:asciiTheme="minorHAnsi" w:hAnsiTheme="minorHAnsi"/>
          <w:color w:val="auto"/>
          <w:sz w:val="22"/>
          <w:szCs w:val="22"/>
        </w:rPr>
        <w:t>promote early engagement with titleholders on potential non-compliance issues.  This maximises the range of options that may be available to address issues – once a non</w:t>
      </w:r>
      <w:r w:rsidR="00566BCB">
        <w:rPr>
          <w:rFonts w:asciiTheme="minorHAnsi" w:hAnsiTheme="minorHAnsi"/>
          <w:color w:val="auto"/>
          <w:sz w:val="22"/>
          <w:szCs w:val="22"/>
        </w:rPr>
        <w:t>-</w:t>
      </w:r>
      <w:r w:rsidRPr="00BC2B8D">
        <w:rPr>
          <w:rFonts w:asciiTheme="minorHAnsi" w:hAnsiTheme="minorHAnsi"/>
          <w:color w:val="auto"/>
          <w:sz w:val="22"/>
          <w:szCs w:val="22"/>
        </w:rPr>
        <w:t xml:space="preserve">compliance has </w:t>
      </w:r>
      <w:r w:rsidR="000939DE" w:rsidRPr="00BC2B8D">
        <w:rPr>
          <w:rFonts w:asciiTheme="minorHAnsi" w:hAnsiTheme="minorHAnsi"/>
          <w:color w:val="auto"/>
          <w:sz w:val="22"/>
          <w:szCs w:val="22"/>
        </w:rPr>
        <w:t>occurred,</w:t>
      </w:r>
      <w:r w:rsidRPr="00BC2B8D">
        <w:rPr>
          <w:rFonts w:asciiTheme="minorHAnsi" w:hAnsiTheme="minorHAnsi"/>
          <w:color w:val="auto"/>
          <w:sz w:val="22"/>
          <w:szCs w:val="22"/>
        </w:rPr>
        <w:t xml:space="preserve"> the Joint Authorities may be limited in the regulatory </w:t>
      </w:r>
      <w:r w:rsidR="000D3731">
        <w:rPr>
          <w:rFonts w:asciiTheme="minorHAnsi" w:hAnsiTheme="minorHAnsi"/>
          <w:color w:val="auto"/>
          <w:sz w:val="22"/>
          <w:szCs w:val="22"/>
        </w:rPr>
        <w:t xml:space="preserve">options available for redress. </w:t>
      </w:r>
    </w:p>
    <w:p w14:paraId="50F79CBF" w14:textId="77777777" w:rsidR="00351ECA" w:rsidRDefault="00351ECA" w:rsidP="00351ECA">
      <w:pPr>
        <w:rPr>
          <w:rFonts w:asciiTheme="majorHAnsi" w:eastAsiaTheme="majorEastAsia" w:hAnsiTheme="majorHAnsi" w:cstheme="majorBidi"/>
          <w:b/>
          <w:color w:val="2E74B5" w:themeColor="accent1" w:themeShade="BF"/>
          <w:sz w:val="26"/>
          <w:szCs w:val="26"/>
        </w:rPr>
      </w:pPr>
      <w:r>
        <w:rPr>
          <w:b/>
        </w:rPr>
        <w:br w:type="page"/>
      </w:r>
    </w:p>
    <w:p w14:paraId="46452A52" w14:textId="77777777" w:rsidR="00351ECA" w:rsidRPr="00A37C75" w:rsidRDefault="00351ECA" w:rsidP="00351ECA">
      <w:pPr>
        <w:pStyle w:val="Heading2"/>
        <w:spacing w:line="240" w:lineRule="auto"/>
        <w:rPr>
          <w:b/>
        </w:rPr>
      </w:pPr>
      <w:bookmarkStart w:id="27" w:name="_Toc497215480"/>
      <w:r>
        <w:rPr>
          <w:b/>
        </w:rPr>
        <w:lastRenderedPageBreak/>
        <w:t>KPI</w:t>
      </w:r>
      <w:r w:rsidRPr="00A37C75">
        <w:rPr>
          <w:b/>
        </w:rPr>
        <w:t xml:space="preserve"> 4</w:t>
      </w:r>
      <w:r>
        <w:rPr>
          <w:b/>
        </w:rPr>
        <w:t xml:space="preserve">: </w:t>
      </w:r>
      <w:r w:rsidRPr="00A37C75">
        <w:rPr>
          <w:b/>
        </w:rPr>
        <w:t>Compliance and monitoring approaches are streamlined and coordinated</w:t>
      </w:r>
      <w:bookmarkEnd w:id="27"/>
      <w:r w:rsidRPr="00A37C75">
        <w:rPr>
          <w:b/>
        </w:rPr>
        <w:t xml:space="preserve"> </w:t>
      </w:r>
    </w:p>
    <w:p w14:paraId="66756AF2" w14:textId="77777777" w:rsidR="00351ECA" w:rsidRDefault="00351ECA" w:rsidP="000D3731">
      <w:pPr>
        <w:pStyle w:val="Heading3"/>
      </w:pPr>
      <w:bookmarkStart w:id="28" w:name="_Toc497215481"/>
      <w:r>
        <w:t>KPI Expectations</w:t>
      </w:r>
      <w:bookmarkEnd w:id="28"/>
    </w:p>
    <w:p w14:paraId="4194B9FA" w14:textId="1F711BF0" w:rsidR="00351ECA" w:rsidRPr="00FF2FAE" w:rsidRDefault="00351ECA" w:rsidP="00351ECA">
      <w:pPr>
        <w:spacing w:line="240" w:lineRule="auto"/>
      </w:pPr>
      <w:r>
        <w:t>Information is only requested from regulated entities where it is required to achieve the regulatory objectives.  Monitoring and inspection approaches are risk based and consider circumstances and operational needs of the regulated entity.</w:t>
      </w:r>
    </w:p>
    <w:p w14:paraId="01AF9386" w14:textId="77777777" w:rsidR="00351ECA" w:rsidRDefault="00351ECA" w:rsidP="000D3731">
      <w:pPr>
        <w:pStyle w:val="Heading3"/>
      </w:pPr>
      <w:bookmarkStart w:id="29" w:name="_Toc497215482"/>
      <w:r>
        <w:t>NOPTA’s Approach</w:t>
      </w:r>
      <w:bookmarkEnd w:id="29"/>
      <w:r w:rsidRPr="00686DDC">
        <w:t xml:space="preserve"> </w:t>
      </w:r>
    </w:p>
    <w:p w14:paraId="47BB3E24" w14:textId="4BAD0B07" w:rsidR="00351ECA" w:rsidRDefault="00351ECA" w:rsidP="00351ECA">
      <w:pPr>
        <w:pStyle w:val="CommentText"/>
        <w:rPr>
          <w:sz w:val="22"/>
          <w:szCs w:val="22"/>
        </w:rPr>
      </w:pPr>
      <w:r w:rsidRPr="007903BF">
        <w:rPr>
          <w:sz w:val="22"/>
          <w:szCs w:val="22"/>
        </w:rPr>
        <w:t xml:space="preserve">NOPTA’s compliance and monitoring approaches are continuously improving </w:t>
      </w:r>
      <w:r w:rsidR="00566BCB" w:rsidRPr="007903BF">
        <w:rPr>
          <w:sz w:val="22"/>
          <w:szCs w:val="22"/>
        </w:rPr>
        <w:t>because</w:t>
      </w:r>
      <w:r w:rsidRPr="007903BF">
        <w:rPr>
          <w:sz w:val="22"/>
          <w:szCs w:val="22"/>
        </w:rPr>
        <w:t xml:space="preserve"> of feedback, government policy initiatives and external reviews. </w:t>
      </w:r>
      <w:r>
        <w:rPr>
          <w:sz w:val="22"/>
          <w:szCs w:val="22"/>
        </w:rPr>
        <w:t xml:space="preserve"> </w:t>
      </w:r>
      <w:r w:rsidRPr="007903BF">
        <w:rPr>
          <w:sz w:val="22"/>
          <w:szCs w:val="22"/>
        </w:rPr>
        <w:t xml:space="preserve">This includes the maturation of NOPTA’s regulatory approach since </w:t>
      </w:r>
      <w:r w:rsidR="00704820">
        <w:rPr>
          <w:sz w:val="22"/>
          <w:szCs w:val="22"/>
        </w:rPr>
        <w:t>our</w:t>
      </w:r>
      <w:r w:rsidR="00704820" w:rsidRPr="007903BF">
        <w:rPr>
          <w:sz w:val="22"/>
          <w:szCs w:val="22"/>
        </w:rPr>
        <w:t xml:space="preserve"> </w:t>
      </w:r>
      <w:r w:rsidRPr="007903BF">
        <w:rPr>
          <w:sz w:val="22"/>
          <w:szCs w:val="22"/>
        </w:rPr>
        <w:t xml:space="preserve">establishment in January 2012, various recommendations from reviews and stakeholder surveys and the implementation of the </w:t>
      </w:r>
      <w:r w:rsidRPr="006F18CB">
        <w:rPr>
          <w:sz w:val="22"/>
          <w:szCs w:val="22"/>
        </w:rPr>
        <w:t>RPF</w:t>
      </w:r>
      <w:r w:rsidRPr="007903BF">
        <w:rPr>
          <w:sz w:val="22"/>
          <w:szCs w:val="22"/>
        </w:rPr>
        <w:t xml:space="preserve"> into the 2015-17 </w:t>
      </w:r>
      <w:r>
        <w:rPr>
          <w:sz w:val="22"/>
          <w:szCs w:val="22"/>
        </w:rPr>
        <w:t>and 2017-</w:t>
      </w:r>
      <w:r w:rsidR="006F18CB">
        <w:rPr>
          <w:sz w:val="22"/>
          <w:szCs w:val="22"/>
        </w:rPr>
        <w:t>20</w:t>
      </w:r>
      <w:r>
        <w:rPr>
          <w:sz w:val="22"/>
          <w:szCs w:val="22"/>
        </w:rPr>
        <w:t xml:space="preserve"> </w:t>
      </w:r>
      <w:r w:rsidRPr="007903BF">
        <w:rPr>
          <w:sz w:val="22"/>
          <w:szCs w:val="22"/>
        </w:rPr>
        <w:t>Corporate Plan</w:t>
      </w:r>
      <w:r>
        <w:rPr>
          <w:sz w:val="22"/>
          <w:szCs w:val="22"/>
        </w:rPr>
        <w:t>s</w:t>
      </w:r>
      <w:r w:rsidR="000D3731">
        <w:rPr>
          <w:sz w:val="22"/>
          <w:szCs w:val="22"/>
        </w:rPr>
        <w:t xml:space="preserve">. </w:t>
      </w:r>
    </w:p>
    <w:p w14:paraId="754BC956" w14:textId="599ECA41" w:rsidR="00351ECA" w:rsidRPr="007903BF" w:rsidRDefault="00704820" w:rsidP="00351ECA">
      <w:pPr>
        <w:pStyle w:val="CommentText"/>
        <w:rPr>
          <w:sz w:val="22"/>
          <w:szCs w:val="22"/>
        </w:rPr>
      </w:pPr>
      <w:r>
        <w:rPr>
          <w:sz w:val="22"/>
          <w:szCs w:val="22"/>
        </w:rPr>
        <w:t xml:space="preserve">We have </w:t>
      </w:r>
      <w:r w:rsidR="00351ECA" w:rsidRPr="007903BF">
        <w:rPr>
          <w:sz w:val="22"/>
          <w:szCs w:val="22"/>
        </w:rPr>
        <w:t xml:space="preserve">fostered collaborative and consultative relationships with </w:t>
      </w:r>
      <w:r>
        <w:rPr>
          <w:sz w:val="22"/>
          <w:szCs w:val="22"/>
        </w:rPr>
        <w:t>our</w:t>
      </w:r>
      <w:r w:rsidRPr="007903BF">
        <w:rPr>
          <w:sz w:val="22"/>
          <w:szCs w:val="22"/>
        </w:rPr>
        <w:t xml:space="preserve"> </w:t>
      </w:r>
      <w:r w:rsidR="00351ECA" w:rsidRPr="007903BF">
        <w:rPr>
          <w:sz w:val="22"/>
          <w:szCs w:val="22"/>
        </w:rPr>
        <w:t xml:space="preserve">stakeholders that has </w:t>
      </w:r>
      <w:proofErr w:type="gramStart"/>
      <w:r w:rsidR="00351ECA" w:rsidRPr="007903BF">
        <w:rPr>
          <w:sz w:val="22"/>
          <w:szCs w:val="22"/>
        </w:rPr>
        <w:t>resulted</w:t>
      </w:r>
      <w:proofErr w:type="gramEnd"/>
      <w:r w:rsidR="00351ECA" w:rsidRPr="007903BF">
        <w:rPr>
          <w:sz w:val="22"/>
          <w:szCs w:val="22"/>
        </w:rPr>
        <w:t xml:space="preserve"> in a shared understanding of how compliance underpins </w:t>
      </w:r>
      <w:r>
        <w:rPr>
          <w:sz w:val="22"/>
          <w:szCs w:val="22"/>
        </w:rPr>
        <w:t>our</w:t>
      </w:r>
      <w:r w:rsidRPr="007903BF">
        <w:rPr>
          <w:sz w:val="22"/>
          <w:szCs w:val="22"/>
        </w:rPr>
        <w:t xml:space="preserve"> </w:t>
      </w:r>
      <w:r w:rsidR="00566BCB" w:rsidRPr="007903BF">
        <w:rPr>
          <w:sz w:val="22"/>
          <w:szCs w:val="22"/>
        </w:rPr>
        <w:t>advice</w:t>
      </w:r>
      <w:r w:rsidR="00566BCB">
        <w:rPr>
          <w:sz w:val="22"/>
          <w:szCs w:val="22"/>
        </w:rPr>
        <w:t>,</w:t>
      </w:r>
      <w:r w:rsidR="00566BCB" w:rsidRPr="007903BF">
        <w:rPr>
          <w:sz w:val="22"/>
          <w:szCs w:val="22"/>
        </w:rPr>
        <w:t xml:space="preserve"> </w:t>
      </w:r>
      <w:r w:rsidR="00566BCB">
        <w:rPr>
          <w:sz w:val="22"/>
          <w:szCs w:val="22"/>
        </w:rPr>
        <w:t xml:space="preserve">regulatory </w:t>
      </w:r>
      <w:r w:rsidR="00566BCB" w:rsidRPr="007903BF">
        <w:rPr>
          <w:sz w:val="22"/>
          <w:szCs w:val="22"/>
        </w:rPr>
        <w:t xml:space="preserve">and </w:t>
      </w:r>
      <w:r w:rsidR="00351ECA" w:rsidRPr="007903BF">
        <w:rPr>
          <w:sz w:val="22"/>
          <w:szCs w:val="22"/>
        </w:rPr>
        <w:t xml:space="preserve">resource management functions. </w:t>
      </w:r>
    </w:p>
    <w:p w14:paraId="7777EC6A" w14:textId="77777777" w:rsidR="00351ECA" w:rsidRDefault="00351ECA" w:rsidP="000D3731">
      <w:pPr>
        <w:pStyle w:val="Heading3"/>
      </w:pPr>
      <w:bookmarkStart w:id="30" w:name="_Toc497215483"/>
      <w:r>
        <w:t>Results</w:t>
      </w:r>
      <w:bookmarkEnd w:id="30"/>
    </w:p>
    <w:p w14:paraId="75E35071" w14:textId="199C880C" w:rsidR="00351ECA" w:rsidRPr="00525C9D" w:rsidRDefault="00FD104D"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NOPTA established a number of information management systems with a specific focus on compliance monitoring. </w:t>
      </w:r>
      <w:r w:rsidR="00EF408B">
        <w:rPr>
          <w:rFonts w:asciiTheme="minorHAnsi" w:hAnsiTheme="minorHAnsi"/>
          <w:color w:val="auto"/>
          <w:sz w:val="22"/>
          <w:szCs w:val="22"/>
        </w:rPr>
        <w:t xml:space="preserve"> </w:t>
      </w:r>
      <w:r w:rsidR="00704820">
        <w:rPr>
          <w:rFonts w:asciiTheme="minorHAnsi" w:hAnsiTheme="minorHAnsi"/>
          <w:color w:val="auto"/>
          <w:sz w:val="22"/>
          <w:szCs w:val="22"/>
        </w:rPr>
        <w:t>We have streamlined compliance activities s</w:t>
      </w:r>
      <w:r>
        <w:rPr>
          <w:rFonts w:asciiTheme="minorHAnsi" w:hAnsiTheme="minorHAnsi"/>
          <w:color w:val="auto"/>
          <w:sz w:val="22"/>
          <w:szCs w:val="22"/>
        </w:rPr>
        <w:t xml:space="preserve">ince </w:t>
      </w:r>
      <w:r w:rsidR="00EF408B">
        <w:rPr>
          <w:rFonts w:asciiTheme="minorHAnsi" w:hAnsiTheme="minorHAnsi"/>
          <w:color w:val="auto"/>
          <w:sz w:val="22"/>
          <w:szCs w:val="22"/>
        </w:rPr>
        <w:t xml:space="preserve">the </w:t>
      </w:r>
      <w:r>
        <w:rPr>
          <w:rFonts w:asciiTheme="minorHAnsi" w:hAnsiTheme="minorHAnsi"/>
          <w:color w:val="auto"/>
          <w:sz w:val="22"/>
          <w:szCs w:val="22"/>
        </w:rPr>
        <w:t>introduction</w:t>
      </w:r>
      <w:r w:rsidR="00EF408B">
        <w:rPr>
          <w:rFonts w:asciiTheme="minorHAnsi" w:hAnsiTheme="minorHAnsi"/>
          <w:color w:val="auto"/>
          <w:sz w:val="22"/>
          <w:szCs w:val="22"/>
        </w:rPr>
        <w:t xml:space="preserve"> of these systems</w:t>
      </w:r>
      <w:r w:rsidR="00A95FE0">
        <w:rPr>
          <w:rFonts w:asciiTheme="minorHAnsi" w:hAnsiTheme="minorHAnsi"/>
          <w:color w:val="auto"/>
          <w:sz w:val="22"/>
          <w:szCs w:val="22"/>
        </w:rPr>
        <w:t xml:space="preserve">.  This </w:t>
      </w:r>
      <w:r w:rsidR="00EF408B">
        <w:rPr>
          <w:rFonts w:asciiTheme="minorHAnsi" w:hAnsiTheme="minorHAnsi"/>
          <w:color w:val="auto"/>
          <w:sz w:val="22"/>
          <w:szCs w:val="22"/>
        </w:rPr>
        <w:t xml:space="preserve">has </w:t>
      </w:r>
      <w:r w:rsidR="00A95FE0">
        <w:rPr>
          <w:rFonts w:asciiTheme="minorHAnsi" w:hAnsiTheme="minorHAnsi"/>
          <w:color w:val="auto"/>
          <w:sz w:val="22"/>
          <w:szCs w:val="22"/>
        </w:rPr>
        <w:t xml:space="preserve">also </w:t>
      </w:r>
      <w:r w:rsidR="00EF408B">
        <w:rPr>
          <w:rFonts w:asciiTheme="minorHAnsi" w:hAnsiTheme="minorHAnsi"/>
          <w:color w:val="auto"/>
          <w:sz w:val="22"/>
          <w:szCs w:val="22"/>
        </w:rPr>
        <w:t>aided early engagement on compliance related issues</w:t>
      </w:r>
      <w:r>
        <w:rPr>
          <w:rFonts w:asciiTheme="minorHAnsi" w:hAnsiTheme="minorHAnsi"/>
          <w:color w:val="auto"/>
          <w:sz w:val="22"/>
          <w:szCs w:val="22"/>
        </w:rPr>
        <w:t>.</w:t>
      </w:r>
    </w:p>
    <w:p w14:paraId="2C91F238" w14:textId="251BE98F" w:rsidR="00351ECA" w:rsidRPr="00525C9D" w:rsidRDefault="00704820"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We</w:t>
      </w:r>
      <w:r w:rsidRPr="00C573F4">
        <w:rPr>
          <w:rFonts w:asciiTheme="minorHAnsi" w:hAnsiTheme="minorHAnsi"/>
          <w:color w:val="auto"/>
          <w:sz w:val="22"/>
          <w:szCs w:val="22"/>
        </w:rPr>
        <w:t xml:space="preserve"> </w:t>
      </w:r>
      <w:r w:rsidR="00351ECA" w:rsidRPr="00C573F4">
        <w:rPr>
          <w:rFonts w:asciiTheme="minorHAnsi" w:hAnsiTheme="minorHAnsi"/>
          <w:color w:val="auto"/>
          <w:sz w:val="22"/>
          <w:szCs w:val="22"/>
        </w:rPr>
        <w:t>reviewed the effectiveness of the voluntary A</w:t>
      </w:r>
      <w:r w:rsidR="002363D2">
        <w:rPr>
          <w:rFonts w:asciiTheme="minorHAnsi" w:hAnsiTheme="minorHAnsi"/>
          <w:color w:val="auto"/>
          <w:sz w:val="22"/>
          <w:szCs w:val="22"/>
        </w:rPr>
        <w:t xml:space="preserve">nnual </w:t>
      </w:r>
      <w:r w:rsidR="00351ECA" w:rsidRPr="00C573F4">
        <w:rPr>
          <w:rFonts w:asciiTheme="minorHAnsi" w:hAnsiTheme="minorHAnsi"/>
          <w:color w:val="auto"/>
          <w:sz w:val="22"/>
          <w:szCs w:val="22"/>
        </w:rPr>
        <w:t>T</w:t>
      </w:r>
      <w:r w:rsidR="002363D2">
        <w:rPr>
          <w:rFonts w:asciiTheme="minorHAnsi" w:hAnsiTheme="minorHAnsi"/>
          <w:color w:val="auto"/>
          <w:sz w:val="22"/>
          <w:szCs w:val="22"/>
        </w:rPr>
        <w:t xml:space="preserve">itle </w:t>
      </w:r>
      <w:r w:rsidR="00351ECA" w:rsidRPr="00C573F4">
        <w:rPr>
          <w:rFonts w:asciiTheme="minorHAnsi" w:hAnsiTheme="minorHAnsi"/>
          <w:color w:val="auto"/>
          <w:sz w:val="22"/>
          <w:szCs w:val="22"/>
        </w:rPr>
        <w:t>A</w:t>
      </w:r>
      <w:r w:rsidR="002363D2">
        <w:rPr>
          <w:rFonts w:asciiTheme="minorHAnsi" w:hAnsiTheme="minorHAnsi"/>
          <w:color w:val="auto"/>
          <w:sz w:val="22"/>
          <w:szCs w:val="22"/>
        </w:rPr>
        <w:t xml:space="preserve">ssessment </w:t>
      </w:r>
      <w:r w:rsidR="00351ECA" w:rsidRPr="00C573F4">
        <w:rPr>
          <w:rFonts w:asciiTheme="minorHAnsi" w:hAnsiTheme="minorHAnsi"/>
          <w:color w:val="auto"/>
          <w:sz w:val="22"/>
          <w:szCs w:val="22"/>
        </w:rPr>
        <w:t>R</w:t>
      </w:r>
      <w:r w:rsidR="002363D2">
        <w:rPr>
          <w:rFonts w:asciiTheme="minorHAnsi" w:hAnsiTheme="minorHAnsi"/>
          <w:color w:val="auto"/>
          <w:sz w:val="22"/>
          <w:szCs w:val="22"/>
        </w:rPr>
        <w:t>eports (ATAR)</w:t>
      </w:r>
      <w:r w:rsidR="00351ECA" w:rsidRPr="00525C9D">
        <w:rPr>
          <w:rFonts w:asciiTheme="minorHAnsi" w:hAnsiTheme="minorHAnsi"/>
          <w:color w:val="auto"/>
          <w:sz w:val="22"/>
          <w:szCs w:val="22"/>
        </w:rPr>
        <w:t xml:space="preserve"> templates introduced at the end of 2015.  The templates clarify regulatory requirements and have improved reporting consistency.</w:t>
      </w:r>
    </w:p>
    <w:p w14:paraId="2E5B37EF" w14:textId="3BC21374" w:rsidR="006F18CB" w:rsidRPr="00525C9D" w:rsidRDefault="00704820"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We</w:t>
      </w:r>
      <w:r w:rsidRPr="00B33776">
        <w:rPr>
          <w:rFonts w:asciiTheme="minorHAnsi" w:hAnsiTheme="minorHAnsi"/>
          <w:color w:val="auto"/>
          <w:sz w:val="22"/>
          <w:szCs w:val="22"/>
        </w:rPr>
        <w:t xml:space="preserve"> </w:t>
      </w:r>
      <w:r w:rsidR="00487F2B" w:rsidRPr="00B33776">
        <w:rPr>
          <w:rFonts w:asciiTheme="minorHAnsi" w:hAnsiTheme="minorHAnsi"/>
          <w:color w:val="auto"/>
          <w:sz w:val="22"/>
          <w:szCs w:val="22"/>
        </w:rPr>
        <w:t>review the production</w:t>
      </w:r>
      <w:r w:rsidR="00566BCB">
        <w:rPr>
          <w:rFonts w:asciiTheme="minorHAnsi" w:hAnsiTheme="minorHAnsi"/>
          <w:color w:val="auto"/>
          <w:sz w:val="22"/>
          <w:szCs w:val="22"/>
        </w:rPr>
        <w:t xml:space="preserve"> data</w:t>
      </w:r>
      <w:r w:rsidR="00487F2B" w:rsidRPr="00B33776">
        <w:rPr>
          <w:rFonts w:asciiTheme="minorHAnsi" w:hAnsiTheme="minorHAnsi"/>
          <w:color w:val="auto"/>
          <w:sz w:val="22"/>
          <w:szCs w:val="22"/>
        </w:rPr>
        <w:t xml:space="preserve"> </w:t>
      </w:r>
      <w:r w:rsidR="00B33776">
        <w:rPr>
          <w:rFonts w:asciiTheme="minorHAnsi" w:hAnsiTheme="minorHAnsi"/>
          <w:color w:val="auto"/>
          <w:sz w:val="22"/>
          <w:szCs w:val="22"/>
        </w:rPr>
        <w:t xml:space="preserve">from </w:t>
      </w:r>
      <w:r w:rsidR="00487F2B" w:rsidRPr="00B33776">
        <w:rPr>
          <w:rFonts w:asciiTheme="minorHAnsi" w:hAnsiTheme="minorHAnsi"/>
          <w:color w:val="auto"/>
          <w:sz w:val="22"/>
          <w:szCs w:val="22"/>
        </w:rPr>
        <w:t>petroleum fields on a monthly basis</w:t>
      </w:r>
      <w:r w:rsidR="00D55A83">
        <w:rPr>
          <w:rFonts w:asciiTheme="minorHAnsi" w:hAnsiTheme="minorHAnsi"/>
          <w:color w:val="auto"/>
          <w:sz w:val="22"/>
          <w:szCs w:val="22"/>
        </w:rPr>
        <w:t xml:space="preserve"> for compliance and resource management purposes</w:t>
      </w:r>
      <w:r w:rsidR="00487F2B" w:rsidRPr="00B33776">
        <w:rPr>
          <w:rFonts w:asciiTheme="minorHAnsi" w:hAnsiTheme="minorHAnsi"/>
          <w:color w:val="auto"/>
          <w:sz w:val="22"/>
          <w:szCs w:val="22"/>
        </w:rPr>
        <w:t xml:space="preserve">. </w:t>
      </w:r>
      <w:r>
        <w:rPr>
          <w:rFonts w:asciiTheme="minorHAnsi" w:hAnsiTheme="minorHAnsi"/>
          <w:color w:val="auto"/>
          <w:sz w:val="22"/>
          <w:szCs w:val="22"/>
        </w:rPr>
        <w:t xml:space="preserve"> </w:t>
      </w:r>
      <w:r w:rsidR="00487F2B" w:rsidRPr="00B33776">
        <w:rPr>
          <w:rFonts w:asciiTheme="minorHAnsi" w:hAnsiTheme="minorHAnsi"/>
          <w:color w:val="auto"/>
          <w:sz w:val="22"/>
          <w:szCs w:val="22"/>
        </w:rPr>
        <w:t xml:space="preserve">In </w:t>
      </w:r>
      <w:r w:rsidR="00487F2B" w:rsidRPr="00487F2B">
        <w:rPr>
          <w:rFonts w:asciiTheme="minorHAnsi" w:hAnsiTheme="minorHAnsi"/>
          <w:color w:val="auto"/>
          <w:sz w:val="22"/>
          <w:szCs w:val="22"/>
        </w:rPr>
        <w:t>2016</w:t>
      </w:r>
      <w:r w:rsidR="00487F2B" w:rsidRPr="00B33776">
        <w:rPr>
          <w:rFonts w:asciiTheme="minorHAnsi" w:hAnsiTheme="minorHAnsi"/>
          <w:color w:val="auto"/>
          <w:sz w:val="22"/>
          <w:szCs w:val="22"/>
        </w:rPr>
        <w:t xml:space="preserve">-17 </w:t>
      </w:r>
      <w:r>
        <w:rPr>
          <w:rFonts w:asciiTheme="minorHAnsi" w:hAnsiTheme="minorHAnsi"/>
          <w:color w:val="auto"/>
          <w:sz w:val="22"/>
          <w:szCs w:val="22"/>
        </w:rPr>
        <w:t>we</w:t>
      </w:r>
      <w:r w:rsidRPr="00B33776">
        <w:rPr>
          <w:rFonts w:asciiTheme="minorHAnsi" w:hAnsiTheme="minorHAnsi"/>
          <w:color w:val="auto"/>
          <w:sz w:val="22"/>
          <w:szCs w:val="22"/>
        </w:rPr>
        <w:t xml:space="preserve"> </w:t>
      </w:r>
      <w:r w:rsidR="00487F2B" w:rsidRPr="00B33776">
        <w:rPr>
          <w:rFonts w:asciiTheme="minorHAnsi" w:hAnsiTheme="minorHAnsi"/>
          <w:color w:val="auto"/>
          <w:sz w:val="22"/>
          <w:szCs w:val="22"/>
        </w:rPr>
        <w:t>commenced a</w:t>
      </w:r>
      <w:r w:rsidR="006F18CB" w:rsidRPr="00B33776">
        <w:rPr>
          <w:rFonts w:asciiTheme="minorHAnsi" w:hAnsiTheme="minorHAnsi"/>
          <w:color w:val="auto"/>
          <w:sz w:val="22"/>
          <w:szCs w:val="22"/>
        </w:rPr>
        <w:t xml:space="preserve">nnual </w:t>
      </w:r>
      <w:r w:rsidR="00B33776">
        <w:rPr>
          <w:rFonts w:asciiTheme="minorHAnsi" w:hAnsiTheme="minorHAnsi"/>
          <w:color w:val="auto"/>
          <w:sz w:val="22"/>
          <w:szCs w:val="22"/>
        </w:rPr>
        <w:t>performance reviews of</w:t>
      </w:r>
      <w:r w:rsidR="00487F2B" w:rsidRPr="00B33776">
        <w:rPr>
          <w:rFonts w:asciiTheme="minorHAnsi" w:hAnsiTheme="minorHAnsi"/>
          <w:color w:val="auto"/>
          <w:sz w:val="22"/>
          <w:szCs w:val="22"/>
        </w:rPr>
        <w:t xml:space="preserve"> </w:t>
      </w:r>
      <w:r w:rsidR="006F18CB" w:rsidRPr="00B33776">
        <w:rPr>
          <w:rFonts w:asciiTheme="minorHAnsi" w:hAnsiTheme="minorHAnsi"/>
          <w:color w:val="auto"/>
          <w:sz w:val="22"/>
          <w:szCs w:val="22"/>
        </w:rPr>
        <w:t>fields</w:t>
      </w:r>
      <w:r w:rsidR="00487F2B" w:rsidRPr="00B33776">
        <w:rPr>
          <w:rFonts w:asciiTheme="minorHAnsi" w:hAnsiTheme="minorHAnsi"/>
          <w:color w:val="auto"/>
          <w:sz w:val="22"/>
          <w:szCs w:val="22"/>
        </w:rPr>
        <w:t xml:space="preserve">. </w:t>
      </w:r>
      <w:r>
        <w:rPr>
          <w:rFonts w:asciiTheme="minorHAnsi" w:hAnsiTheme="minorHAnsi"/>
          <w:color w:val="auto"/>
          <w:sz w:val="22"/>
          <w:szCs w:val="22"/>
        </w:rPr>
        <w:t xml:space="preserve"> </w:t>
      </w:r>
      <w:r w:rsidR="00566BCB">
        <w:rPr>
          <w:rFonts w:asciiTheme="minorHAnsi" w:hAnsiTheme="minorHAnsi"/>
          <w:color w:val="auto"/>
          <w:sz w:val="22"/>
          <w:szCs w:val="22"/>
        </w:rPr>
        <w:t>T</w:t>
      </w:r>
      <w:r w:rsidR="00487F2B" w:rsidRPr="00B33776">
        <w:rPr>
          <w:rFonts w:asciiTheme="minorHAnsi" w:hAnsiTheme="minorHAnsi"/>
          <w:color w:val="auto"/>
          <w:sz w:val="22"/>
          <w:szCs w:val="22"/>
        </w:rPr>
        <w:t xml:space="preserve">itleholders now meet with </w:t>
      </w:r>
      <w:r>
        <w:rPr>
          <w:rFonts w:asciiTheme="minorHAnsi" w:hAnsiTheme="minorHAnsi"/>
          <w:color w:val="auto"/>
          <w:sz w:val="22"/>
          <w:szCs w:val="22"/>
        </w:rPr>
        <w:t>us</w:t>
      </w:r>
      <w:r w:rsidRPr="00B33776">
        <w:rPr>
          <w:rFonts w:asciiTheme="minorHAnsi" w:hAnsiTheme="minorHAnsi"/>
          <w:color w:val="auto"/>
          <w:sz w:val="22"/>
          <w:szCs w:val="22"/>
        </w:rPr>
        <w:t xml:space="preserve"> </w:t>
      </w:r>
      <w:r w:rsidR="00487F2B" w:rsidRPr="00B33776">
        <w:rPr>
          <w:rFonts w:asciiTheme="minorHAnsi" w:hAnsiTheme="minorHAnsi"/>
          <w:color w:val="auto"/>
          <w:sz w:val="22"/>
          <w:szCs w:val="22"/>
        </w:rPr>
        <w:t xml:space="preserve">on an annual basis as </w:t>
      </w:r>
      <w:r w:rsidR="00566BCB">
        <w:rPr>
          <w:rFonts w:asciiTheme="minorHAnsi" w:hAnsiTheme="minorHAnsi"/>
          <w:color w:val="auto"/>
          <w:sz w:val="22"/>
          <w:szCs w:val="22"/>
        </w:rPr>
        <w:t>result</w:t>
      </w:r>
      <w:r w:rsidR="00487F2B" w:rsidRPr="00B33776">
        <w:rPr>
          <w:rFonts w:asciiTheme="minorHAnsi" w:hAnsiTheme="minorHAnsi"/>
          <w:color w:val="auto"/>
          <w:sz w:val="22"/>
          <w:szCs w:val="22"/>
        </w:rPr>
        <w:t xml:space="preserve"> of this process. </w:t>
      </w:r>
    </w:p>
    <w:p w14:paraId="0632945E" w14:textId="7ED928F3" w:rsidR="00597822" w:rsidRPr="00525C9D" w:rsidRDefault="00704820"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We </w:t>
      </w:r>
      <w:r w:rsidR="00597822">
        <w:rPr>
          <w:rFonts w:asciiTheme="minorHAnsi" w:hAnsiTheme="minorHAnsi"/>
          <w:color w:val="auto"/>
          <w:sz w:val="22"/>
          <w:szCs w:val="22"/>
        </w:rPr>
        <w:t xml:space="preserve">actively engage with industry prior to the due date of submissions to ensure their timely provision. </w:t>
      </w:r>
      <w:r>
        <w:rPr>
          <w:rFonts w:asciiTheme="minorHAnsi" w:hAnsiTheme="minorHAnsi"/>
          <w:color w:val="auto"/>
          <w:sz w:val="22"/>
          <w:szCs w:val="22"/>
        </w:rPr>
        <w:t xml:space="preserve"> Outstanding data is at negligible levels a</w:t>
      </w:r>
      <w:r w:rsidR="00597822">
        <w:rPr>
          <w:rFonts w:asciiTheme="minorHAnsi" w:hAnsiTheme="minorHAnsi"/>
          <w:color w:val="auto"/>
          <w:sz w:val="22"/>
          <w:szCs w:val="22"/>
        </w:rPr>
        <w:t xml:space="preserve">s a result. </w:t>
      </w:r>
      <w:r>
        <w:rPr>
          <w:rFonts w:asciiTheme="minorHAnsi" w:hAnsiTheme="minorHAnsi"/>
          <w:color w:val="auto"/>
          <w:sz w:val="22"/>
          <w:szCs w:val="22"/>
        </w:rPr>
        <w:t xml:space="preserve"> </w:t>
      </w:r>
      <w:r w:rsidR="00597822">
        <w:rPr>
          <w:rFonts w:asciiTheme="minorHAnsi" w:hAnsiTheme="minorHAnsi"/>
          <w:color w:val="auto"/>
          <w:sz w:val="22"/>
          <w:szCs w:val="22"/>
        </w:rPr>
        <w:t xml:space="preserve">This improves the availability of </w:t>
      </w:r>
      <w:r w:rsidR="00566BCB">
        <w:rPr>
          <w:rFonts w:asciiTheme="minorHAnsi" w:hAnsiTheme="minorHAnsi"/>
          <w:color w:val="auto"/>
          <w:sz w:val="22"/>
          <w:szCs w:val="22"/>
        </w:rPr>
        <w:t xml:space="preserve">public </w:t>
      </w:r>
      <w:r w:rsidR="00597822">
        <w:rPr>
          <w:rFonts w:asciiTheme="minorHAnsi" w:hAnsiTheme="minorHAnsi"/>
          <w:color w:val="auto"/>
          <w:sz w:val="22"/>
          <w:szCs w:val="22"/>
        </w:rPr>
        <w:t xml:space="preserve">information once the appropriate confidentiality period has expired. </w:t>
      </w:r>
    </w:p>
    <w:p w14:paraId="64B1D708" w14:textId="0E153B79" w:rsidR="00BB561D" w:rsidRPr="000D3731" w:rsidRDefault="00597822" w:rsidP="000D3731">
      <w:pPr>
        <w:pStyle w:val="ListParagraph"/>
        <w:numPr>
          <w:ilvl w:val="0"/>
          <w:numId w:val="2"/>
        </w:numPr>
        <w:spacing w:after="120"/>
        <w:ind w:left="426" w:hanging="426"/>
        <w:contextualSpacing w:val="0"/>
        <w:rPr>
          <w:rFonts w:asciiTheme="minorHAnsi" w:hAnsiTheme="minorHAnsi"/>
          <w:color w:val="auto"/>
          <w:sz w:val="22"/>
          <w:szCs w:val="22"/>
        </w:rPr>
      </w:pPr>
      <w:r w:rsidRPr="00CD3655">
        <w:rPr>
          <w:rFonts w:asciiTheme="minorHAnsi" w:hAnsiTheme="minorHAnsi"/>
          <w:color w:val="auto"/>
          <w:sz w:val="22"/>
          <w:szCs w:val="22"/>
        </w:rPr>
        <w:t xml:space="preserve">Quality control of submitted items has been implemented to improve the </w:t>
      </w:r>
      <w:r w:rsidR="005C3AF6">
        <w:rPr>
          <w:rFonts w:asciiTheme="minorHAnsi" w:hAnsiTheme="minorHAnsi"/>
          <w:color w:val="auto"/>
          <w:sz w:val="22"/>
          <w:szCs w:val="22"/>
        </w:rPr>
        <w:t>accuracy</w:t>
      </w:r>
      <w:r w:rsidRPr="00CD3655">
        <w:rPr>
          <w:rFonts w:asciiTheme="minorHAnsi" w:hAnsiTheme="minorHAnsi"/>
          <w:color w:val="auto"/>
          <w:sz w:val="22"/>
          <w:szCs w:val="22"/>
        </w:rPr>
        <w:t xml:space="preserve"> of new data</w:t>
      </w:r>
      <w:r w:rsidR="009075DB">
        <w:rPr>
          <w:rFonts w:asciiTheme="minorHAnsi" w:hAnsiTheme="minorHAnsi"/>
          <w:color w:val="auto"/>
          <w:sz w:val="22"/>
          <w:szCs w:val="22"/>
        </w:rPr>
        <w:t xml:space="preserve">. </w:t>
      </w:r>
      <w:r w:rsidR="00704820">
        <w:rPr>
          <w:rFonts w:asciiTheme="minorHAnsi" w:hAnsiTheme="minorHAnsi"/>
          <w:color w:val="auto"/>
          <w:sz w:val="22"/>
          <w:szCs w:val="22"/>
        </w:rPr>
        <w:t>We</w:t>
      </w:r>
      <w:r w:rsidR="00704820" w:rsidRPr="00CD3655">
        <w:rPr>
          <w:rFonts w:asciiTheme="minorHAnsi" w:hAnsiTheme="minorHAnsi"/>
          <w:color w:val="auto"/>
          <w:sz w:val="22"/>
          <w:szCs w:val="22"/>
        </w:rPr>
        <w:t xml:space="preserve"> </w:t>
      </w:r>
      <w:r w:rsidR="00CD3655">
        <w:rPr>
          <w:rFonts w:asciiTheme="minorHAnsi" w:hAnsiTheme="minorHAnsi"/>
          <w:color w:val="auto"/>
          <w:sz w:val="22"/>
          <w:szCs w:val="22"/>
        </w:rPr>
        <w:t xml:space="preserve">also </w:t>
      </w:r>
      <w:r w:rsidR="00CD3655" w:rsidRPr="00CD3655">
        <w:rPr>
          <w:rFonts w:asciiTheme="minorHAnsi" w:hAnsiTheme="minorHAnsi"/>
          <w:color w:val="auto"/>
          <w:sz w:val="22"/>
          <w:szCs w:val="22"/>
        </w:rPr>
        <w:t>promote in</w:t>
      </w:r>
      <w:r w:rsidR="00CD3655">
        <w:rPr>
          <w:rFonts w:asciiTheme="minorHAnsi" w:hAnsiTheme="minorHAnsi"/>
          <w:color w:val="auto"/>
          <w:sz w:val="22"/>
          <w:szCs w:val="22"/>
        </w:rPr>
        <w:t>i</w:t>
      </w:r>
      <w:r w:rsidR="00CD3655" w:rsidRPr="00CD3655">
        <w:rPr>
          <w:rFonts w:asciiTheme="minorHAnsi" w:hAnsiTheme="minorHAnsi"/>
          <w:color w:val="auto"/>
          <w:sz w:val="22"/>
          <w:szCs w:val="22"/>
        </w:rPr>
        <w:t xml:space="preserve">tiatives to improve the quality of legacy </w:t>
      </w:r>
      <w:r w:rsidR="00CD3655">
        <w:rPr>
          <w:rFonts w:asciiTheme="minorHAnsi" w:hAnsiTheme="minorHAnsi"/>
          <w:color w:val="auto"/>
          <w:sz w:val="22"/>
          <w:szCs w:val="22"/>
        </w:rPr>
        <w:t xml:space="preserve">information </w:t>
      </w:r>
      <w:r w:rsidR="00CD3655" w:rsidRPr="00CD3655">
        <w:rPr>
          <w:rFonts w:asciiTheme="minorHAnsi" w:hAnsiTheme="minorHAnsi"/>
          <w:color w:val="auto"/>
          <w:sz w:val="22"/>
          <w:szCs w:val="22"/>
        </w:rPr>
        <w:t xml:space="preserve">submitted prior to NOPTA’s establishment. </w:t>
      </w:r>
    </w:p>
    <w:p w14:paraId="608EDACD" w14:textId="77777777" w:rsidR="00351ECA" w:rsidRDefault="00351ECA" w:rsidP="00351ECA">
      <w:pPr>
        <w:spacing w:after="120"/>
        <w:rPr>
          <w:rFonts w:asciiTheme="majorHAnsi" w:eastAsiaTheme="majorEastAsia" w:hAnsiTheme="majorHAnsi" w:cstheme="majorBidi"/>
          <w:b/>
          <w:color w:val="2E74B5" w:themeColor="accent1" w:themeShade="BF"/>
          <w:sz w:val="26"/>
          <w:szCs w:val="26"/>
        </w:rPr>
      </w:pPr>
      <w:r>
        <w:rPr>
          <w:b/>
        </w:rPr>
        <w:br w:type="page"/>
      </w:r>
    </w:p>
    <w:p w14:paraId="636CE67A" w14:textId="77777777" w:rsidR="00351ECA" w:rsidRPr="006971ED" w:rsidRDefault="00351ECA" w:rsidP="00351ECA">
      <w:pPr>
        <w:pStyle w:val="Heading2"/>
        <w:spacing w:line="240" w:lineRule="auto"/>
        <w:rPr>
          <w:b/>
        </w:rPr>
      </w:pPr>
      <w:bookmarkStart w:id="31" w:name="_Toc497215484"/>
      <w:r w:rsidRPr="006971ED">
        <w:rPr>
          <w:b/>
        </w:rPr>
        <w:lastRenderedPageBreak/>
        <w:t>KPI 5: Regulators are open and transparent in their dealings with regulated entities</w:t>
      </w:r>
      <w:bookmarkEnd w:id="31"/>
    </w:p>
    <w:p w14:paraId="63D2C7C3" w14:textId="77777777" w:rsidR="00351ECA" w:rsidRDefault="00351ECA" w:rsidP="000D3731">
      <w:pPr>
        <w:pStyle w:val="Heading3"/>
      </w:pPr>
      <w:bookmarkStart w:id="32" w:name="_Toc497215485"/>
      <w:r>
        <w:t>KPI Expectations</w:t>
      </w:r>
      <w:bookmarkEnd w:id="32"/>
    </w:p>
    <w:p w14:paraId="28465DD5" w14:textId="77777777" w:rsidR="00351ECA" w:rsidRPr="00FF2FAE" w:rsidRDefault="00351ECA" w:rsidP="00351ECA">
      <w:pPr>
        <w:spacing w:line="240" w:lineRule="auto"/>
      </w:pPr>
      <w:r>
        <w:t>Where possible, regulators clearly communicate the evidence base and approach used in decision-making processes.  Transparency provides the regulated entity and broader community with greater confidence and understanding of the regulator’s role.</w:t>
      </w:r>
    </w:p>
    <w:p w14:paraId="2E8A6DA0" w14:textId="77777777" w:rsidR="00351ECA" w:rsidRDefault="00351ECA" w:rsidP="000D3731">
      <w:pPr>
        <w:pStyle w:val="Heading3"/>
      </w:pPr>
      <w:bookmarkStart w:id="33" w:name="_Toc497215486"/>
      <w:r>
        <w:t>NOPTA’s Approach</w:t>
      </w:r>
      <w:bookmarkEnd w:id="33"/>
      <w:r w:rsidRPr="00686DDC">
        <w:t xml:space="preserve"> </w:t>
      </w:r>
    </w:p>
    <w:p w14:paraId="0F9C6447" w14:textId="7380D395" w:rsidR="00351ECA" w:rsidRDefault="00704820" w:rsidP="00351ECA">
      <w:pPr>
        <w:spacing w:line="240" w:lineRule="auto"/>
      </w:pPr>
      <w:r>
        <w:t>We</w:t>
      </w:r>
      <w:r w:rsidRPr="00A37C75">
        <w:t xml:space="preserve"> </w:t>
      </w:r>
      <w:r w:rsidR="00351ECA" w:rsidRPr="00A37C75">
        <w:t xml:space="preserve">undertake a variety of title administration functions that includes </w:t>
      </w:r>
      <w:r w:rsidR="00351ECA">
        <w:t>processing title applications, providing advice to the Joint Authority, making (limited) decisions, monitoring compliance, enforcing</w:t>
      </w:r>
      <w:r w:rsidR="00351ECA" w:rsidRPr="00A37C75">
        <w:t xml:space="preserve"> legislative </w:t>
      </w:r>
      <w:r w:rsidR="00351ECA">
        <w:t xml:space="preserve">requirements, developing guidelines and fact sheets and </w:t>
      </w:r>
      <w:r w:rsidR="00351ECA" w:rsidRPr="00A37C75">
        <w:t xml:space="preserve">identifying </w:t>
      </w:r>
      <w:r w:rsidR="00351ECA">
        <w:t xml:space="preserve">potential policy, legislative or administrative improvements. </w:t>
      </w:r>
    </w:p>
    <w:p w14:paraId="7DBFA067" w14:textId="0EB17CBD" w:rsidR="00351ECA" w:rsidRDefault="00351ECA" w:rsidP="00351ECA">
      <w:pPr>
        <w:spacing w:line="240" w:lineRule="auto"/>
      </w:pPr>
      <w:r>
        <w:t xml:space="preserve">For each of these functions </w:t>
      </w:r>
      <w:r w:rsidR="00782F21">
        <w:t xml:space="preserve">we </w:t>
      </w:r>
      <w:r>
        <w:t>ensure that</w:t>
      </w:r>
      <w:r w:rsidR="00160B81">
        <w:t xml:space="preserve"> </w:t>
      </w:r>
      <w:r w:rsidR="00782F21">
        <w:t>we are o</w:t>
      </w:r>
      <w:r>
        <w:t xml:space="preserve">pen and transparent in </w:t>
      </w:r>
      <w:r w:rsidR="00782F21">
        <w:t xml:space="preserve">our </w:t>
      </w:r>
      <w:r>
        <w:t>dealings.  This is achieve</w:t>
      </w:r>
      <w:r w:rsidR="005C3AF6">
        <w:t>d through regular communication and</w:t>
      </w:r>
      <w:r>
        <w:t xml:space="preserve"> consultation.  </w:t>
      </w:r>
      <w:r w:rsidR="00782F21">
        <w:t xml:space="preserve">We </w:t>
      </w:r>
      <w:r>
        <w:t>regularly engage in face-to-face meetings with titleholders to discuss issues in detail to ensure a shared understanding</w:t>
      </w:r>
      <w:r w:rsidR="00D33E86">
        <w:t xml:space="preserve">.  </w:t>
      </w:r>
      <w:r w:rsidR="00782F21">
        <w:t xml:space="preserve">We </w:t>
      </w:r>
      <w:r w:rsidR="00D33E86">
        <w:t>also</w:t>
      </w:r>
      <w:r w:rsidR="00B33776">
        <w:t xml:space="preserve"> </w:t>
      </w:r>
      <w:r w:rsidR="006F18CB">
        <w:t>maintain NEATS, which allow</w:t>
      </w:r>
      <w:r w:rsidR="00782F21">
        <w:t>s</w:t>
      </w:r>
      <w:r w:rsidR="006F18CB">
        <w:t xml:space="preserve"> titleholders to follow </w:t>
      </w:r>
      <w:r w:rsidR="00B11EED">
        <w:t xml:space="preserve">the progress of </w:t>
      </w:r>
      <w:r w:rsidR="006F18CB">
        <w:t>their applications</w:t>
      </w:r>
      <w:r w:rsidR="00B11EED">
        <w:t xml:space="preserve">. </w:t>
      </w:r>
    </w:p>
    <w:p w14:paraId="3B797A7E" w14:textId="7AD71A2B" w:rsidR="00351ECA" w:rsidRDefault="00351ECA" w:rsidP="00351ECA">
      <w:pPr>
        <w:spacing w:line="240" w:lineRule="auto"/>
      </w:pPr>
      <w:r>
        <w:t xml:space="preserve">This shared understanding with titleholders enables </w:t>
      </w:r>
      <w:r w:rsidR="00782F21">
        <w:t xml:space="preserve">us </w:t>
      </w:r>
      <w:r>
        <w:t xml:space="preserve">to set realistic expectations on timeframes and </w:t>
      </w:r>
      <w:r w:rsidR="00566BCB">
        <w:t>the information we require</w:t>
      </w:r>
      <w:r>
        <w:t>, provide clarity to questions of process and provide informal feedback on future applications where appropriate.</w:t>
      </w:r>
    </w:p>
    <w:p w14:paraId="3E5CFCFB" w14:textId="77777777" w:rsidR="00351ECA" w:rsidRDefault="00351ECA" w:rsidP="000D3731">
      <w:pPr>
        <w:pStyle w:val="Heading3"/>
      </w:pPr>
      <w:bookmarkStart w:id="34" w:name="_Toc497215487"/>
      <w:r>
        <w:t>Results</w:t>
      </w:r>
      <w:bookmarkEnd w:id="34"/>
    </w:p>
    <w:p w14:paraId="1061EE6C" w14:textId="4C9B3CF6" w:rsidR="00351ECA" w:rsidRDefault="00351ECA"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NOPTA’s 2017-</w:t>
      </w:r>
      <w:r w:rsidR="00B33776">
        <w:rPr>
          <w:rFonts w:asciiTheme="minorHAnsi" w:hAnsiTheme="minorHAnsi"/>
          <w:color w:val="auto"/>
          <w:sz w:val="22"/>
          <w:szCs w:val="22"/>
        </w:rPr>
        <w:t>20</w:t>
      </w:r>
      <w:r>
        <w:rPr>
          <w:rFonts w:asciiTheme="minorHAnsi" w:hAnsiTheme="minorHAnsi"/>
          <w:color w:val="auto"/>
          <w:sz w:val="22"/>
          <w:szCs w:val="22"/>
        </w:rPr>
        <w:t xml:space="preserve"> Corporate Plan includes the six RPF KPIs.</w:t>
      </w:r>
    </w:p>
    <w:p w14:paraId="1804526B" w14:textId="40ACA745" w:rsidR="00351ECA" w:rsidRPr="00852951" w:rsidRDefault="00351ECA"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All </w:t>
      </w:r>
      <w:r w:rsidRPr="00526302">
        <w:rPr>
          <w:rFonts w:asciiTheme="minorHAnsi" w:hAnsiTheme="minorHAnsi"/>
          <w:color w:val="auto"/>
          <w:sz w:val="22"/>
          <w:szCs w:val="22"/>
        </w:rPr>
        <w:t>survey respondents</w:t>
      </w:r>
      <w:r w:rsidR="005017EB">
        <w:rPr>
          <w:rFonts w:asciiTheme="minorHAnsi" w:hAnsiTheme="minorHAnsi"/>
          <w:color w:val="auto"/>
          <w:sz w:val="22"/>
          <w:szCs w:val="22"/>
        </w:rPr>
        <w:t xml:space="preserve"> </w:t>
      </w:r>
      <w:r w:rsidR="00782F21">
        <w:rPr>
          <w:rFonts w:asciiTheme="minorHAnsi" w:hAnsiTheme="minorHAnsi"/>
          <w:color w:val="auto"/>
          <w:sz w:val="22"/>
          <w:szCs w:val="22"/>
        </w:rPr>
        <w:t>agree that we are</w:t>
      </w:r>
      <w:r w:rsidR="00782F21" w:rsidRPr="00526302">
        <w:rPr>
          <w:rFonts w:asciiTheme="minorHAnsi" w:hAnsiTheme="minorHAnsi"/>
          <w:color w:val="auto"/>
          <w:sz w:val="22"/>
          <w:szCs w:val="22"/>
        </w:rPr>
        <w:t xml:space="preserve"> </w:t>
      </w:r>
      <w:r w:rsidRPr="00526302">
        <w:rPr>
          <w:rFonts w:asciiTheme="minorHAnsi" w:hAnsiTheme="minorHAnsi"/>
          <w:color w:val="auto"/>
          <w:sz w:val="22"/>
          <w:szCs w:val="22"/>
        </w:rPr>
        <w:t>publicly accountable in publishing performance results.</w:t>
      </w:r>
      <w:r w:rsidRPr="00C30F46">
        <w:rPr>
          <w:rFonts w:asciiTheme="minorHAnsi" w:hAnsiTheme="minorHAnsi"/>
          <w:color w:val="auto"/>
          <w:sz w:val="22"/>
          <w:szCs w:val="22"/>
        </w:rPr>
        <w:t xml:space="preserve"> </w:t>
      </w:r>
      <w:r>
        <w:rPr>
          <w:rFonts w:asciiTheme="minorHAnsi" w:hAnsiTheme="minorHAnsi"/>
          <w:color w:val="auto"/>
          <w:sz w:val="22"/>
          <w:szCs w:val="22"/>
        </w:rPr>
        <w:t xml:space="preserve"> </w:t>
      </w:r>
      <w:r w:rsidRPr="00D329CE">
        <w:rPr>
          <w:rFonts w:asciiTheme="minorHAnsi" w:hAnsiTheme="minorHAnsi"/>
          <w:color w:val="auto"/>
          <w:sz w:val="22"/>
          <w:szCs w:val="22"/>
        </w:rPr>
        <w:t>Over 95 per cent</w:t>
      </w:r>
      <w:r>
        <w:rPr>
          <w:rFonts w:asciiTheme="minorHAnsi" w:hAnsiTheme="minorHAnsi"/>
          <w:color w:val="auto"/>
          <w:sz w:val="22"/>
          <w:szCs w:val="22"/>
        </w:rPr>
        <w:t xml:space="preserve"> </w:t>
      </w:r>
      <w:r w:rsidR="00782F21">
        <w:rPr>
          <w:rFonts w:asciiTheme="minorHAnsi" w:hAnsiTheme="minorHAnsi"/>
          <w:color w:val="auto"/>
          <w:sz w:val="22"/>
          <w:szCs w:val="22"/>
        </w:rPr>
        <w:t>agree that we are</w:t>
      </w:r>
      <w:r>
        <w:rPr>
          <w:rFonts w:asciiTheme="minorHAnsi" w:hAnsiTheme="minorHAnsi"/>
          <w:color w:val="auto"/>
          <w:sz w:val="22"/>
          <w:szCs w:val="22"/>
        </w:rPr>
        <w:t xml:space="preserve"> </w:t>
      </w:r>
      <w:r w:rsidRPr="00852951">
        <w:rPr>
          <w:rFonts w:asciiTheme="minorHAnsi" w:hAnsiTheme="minorHAnsi"/>
          <w:color w:val="auto"/>
          <w:sz w:val="22"/>
          <w:szCs w:val="22"/>
        </w:rPr>
        <w:t xml:space="preserve">open and transparent in </w:t>
      </w:r>
      <w:r w:rsidR="00782F21">
        <w:rPr>
          <w:rFonts w:asciiTheme="minorHAnsi" w:hAnsiTheme="minorHAnsi"/>
          <w:color w:val="auto"/>
          <w:sz w:val="22"/>
          <w:szCs w:val="22"/>
        </w:rPr>
        <w:t>our</w:t>
      </w:r>
      <w:r w:rsidR="00782F21" w:rsidRPr="00852951">
        <w:rPr>
          <w:rFonts w:asciiTheme="minorHAnsi" w:hAnsiTheme="minorHAnsi"/>
          <w:color w:val="auto"/>
          <w:sz w:val="22"/>
          <w:szCs w:val="22"/>
        </w:rPr>
        <w:t xml:space="preserve"> </w:t>
      </w:r>
      <w:r w:rsidRPr="00852951">
        <w:rPr>
          <w:rFonts w:asciiTheme="minorHAnsi" w:hAnsiTheme="minorHAnsi"/>
          <w:color w:val="auto"/>
          <w:sz w:val="22"/>
          <w:szCs w:val="22"/>
        </w:rPr>
        <w:t>dealings</w:t>
      </w:r>
      <w:r>
        <w:rPr>
          <w:rFonts w:asciiTheme="minorHAnsi" w:hAnsiTheme="minorHAnsi"/>
          <w:color w:val="auto"/>
          <w:sz w:val="22"/>
          <w:szCs w:val="22"/>
        </w:rPr>
        <w:t xml:space="preserve">. </w:t>
      </w:r>
    </w:p>
    <w:p w14:paraId="78DA9AA6" w14:textId="20816244" w:rsidR="00351ECA" w:rsidRDefault="00351ECA"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 xml:space="preserve">All non-titleholder </w:t>
      </w:r>
      <w:r w:rsidRPr="00526302">
        <w:rPr>
          <w:rFonts w:asciiTheme="minorHAnsi" w:hAnsiTheme="minorHAnsi"/>
          <w:color w:val="auto"/>
          <w:sz w:val="22"/>
          <w:szCs w:val="22"/>
        </w:rPr>
        <w:t>survey respondents</w:t>
      </w:r>
      <w:r w:rsidR="005017EB">
        <w:rPr>
          <w:rFonts w:asciiTheme="minorHAnsi" w:hAnsiTheme="minorHAnsi"/>
          <w:color w:val="auto"/>
          <w:sz w:val="22"/>
          <w:szCs w:val="22"/>
        </w:rPr>
        <w:t xml:space="preserve"> </w:t>
      </w:r>
      <w:r w:rsidR="00782F21">
        <w:rPr>
          <w:rFonts w:asciiTheme="minorHAnsi" w:hAnsiTheme="minorHAnsi"/>
          <w:color w:val="auto"/>
          <w:sz w:val="22"/>
          <w:szCs w:val="22"/>
        </w:rPr>
        <w:t xml:space="preserve">also agree that we are </w:t>
      </w:r>
      <w:r w:rsidRPr="00500915">
        <w:rPr>
          <w:rFonts w:asciiTheme="minorHAnsi" w:hAnsiTheme="minorHAnsi"/>
          <w:color w:val="auto"/>
          <w:sz w:val="22"/>
          <w:szCs w:val="22"/>
        </w:rPr>
        <w:t xml:space="preserve">open and transparent in </w:t>
      </w:r>
      <w:r w:rsidR="00782F21">
        <w:rPr>
          <w:rFonts w:asciiTheme="minorHAnsi" w:hAnsiTheme="minorHAnsi"/>
          <w:color w:val="auto"/>
          <w:sz w:val="22"/>
          <w:szCs w:val="22"/>
        </w:rPr>
        <w:t>our</w:t>
      </w:r>
      <w:r w:rsidR="00782F21" w:rsidRPr="00500915">
        <w:rPr>
          <w:rFonts w:asciiTheme="minorHAnsi" w:hAnsiTheme="minorHAnsi"/>
          <w:color w:val="auto"/>
          <w:sz w:val="22"/>
          <w:szCs w:val="22"/>
        </w:rPr>
        <w:t xml:space="preserve"> </w:t>
      </w:r>
      <w:r w:rsidRPr="00500915">
        <w:rPr>
          <w:rFonts w:asciiTheme="minorHAnsi" w:hAnsiTheme="minorHAnsi"/>
          <w:color w:val="auto"/>
          <w:sz w:val="22"/>
          <w:szCs w:val="22"/>
        </w:rPr>
        <w:t>dealings</w:t>
      </w:r>
      <w:r>
        <w:rPr>
          <w:rFonts w:asciiTheme="minorHAnsi" w:hAnsiTheme="minorHAnsi"/>
          <w:color w:val="auto"/>
          <w:sz w:val="22"/>
          <w:szCs w:val="22"/>
        </w:rPr>
        <w:t xml:space="preserve">, </w:t>
      </w:r>
      <w:r w:rsidRPr="00526302">
        <w:rPr>
          <w:rFonts w:asciiTheme="minorHAnsi" w:hAnsiTheme="minorHAnsi"/>
          <w:color w:val="auto"/>
          <w:sz w:val="22"/>
          <w:szCs w:val="22"/>
        </w:rPr>
        <w:t>publicly accountable in publishing performance results</w:t>
      </w:r>
      <w:r>
        <w:rPr>
          <w:rFonts w:asciiTheme="minorHAnsi" w:hAnsiTheme="minorHAnsi"/>
          <w:color w:val="auto"/>
          <w:sz w:val="22"/>
          <w:szCs w:val="22"/>
        </w:rPr>
        <w:t xml:space="preserve">, collaborative in </w:t>
      </w:r>
      <w:r w:rsidR="00566BCB">
        <w:rPr>
          <w:rFonts w:asciiTheme="minorHAnsi" w:hAnsiTheme="minorHAnsi"/>
          <w:color w:val="auto"/>
          <w:sz w:val="22"/>
          <w:szCs w:val="22"/>
        </w:rPr>
        <w:t>our</w:t>
      </w:r>
      <w:r>
        <w:rPr>
          <w:rFonts w:asciiTheme="minorHAnsi" w:hAnsiTheme="minorHAnsi"/>
          <w:color w:val="auto"/>
          <w:sz w:val="22"/>
          <w:szCs w:val="22"/>
        </w:rPr>
        <w:t xml:space="preserve"> approach and responsive to business needs. </w:t>
      </w:r>
      <w:r w:rsidRPr="00526302" w:rsidDel="00D329CE">
        <w:rPr>
          <w:rFonts w:asciiTheme="minorHAnsi" w:hAnsiTheme="minorHAnsi"/>
          <w:color w:val="auto"/>
          <w:sz w:val="22"/>
          <w:szCs w:val="22"/>
        </w:rPr>
        <w:t xml:space="preserve"> </w:t>
      </w:r>
    </w:p>
    <w:p w14:paraId="756BD2F4" w14:textId="46BAFE10" w:rsidR="00351ECA" w:rsidRPr="000D3731" w:rsidRDefault="00566BCB" w:rsidP="00351ECA">
      <w:pPr>
        <w:pStyle w:val="ListParagraph"/>
        <w:numPr>
          <w:ilvl w:val="0"/>
          <w:numId w:val="2"/>
        </w:numPr>
        <w:spacing w:after="120"/>
        <w:ind w:left="426" w:hanging="426"/>
        <w:contextualSpacing w:val="0"/>
        <w:rPr>
          <w:rFonts w:asciiTheme="minorHAnsi" w:hAnsiTheme="minorHAnsi"/>
          <w:color w:val="auto"/>
          <w:sz w:val="22"/>
          <w:szCs w:val="22"/>
        </w:rPr>
      </w:pPr>
      <w:r w:rsidRPr="00295D8A">
        <w:rPr>
          <w:rFonts w:asciiTheme="minorHAnsi" w:hAnsiTheme="minorHAnsi"/>
          <w:color w:val="auto"/>
          <w:sz w:val="22"/>
          <w:szCs w:val="22"/>
        </w:rPr>
        <w:t xml:space="preserve">High-level </w:t>
      </w:r>
      <w:r>
        <w:rPr>
          <w:rFonts w:asciiTheme="minorHAnsi" w:hAnsiTheme="minorHAnsi"/>
          <w:color w:val="auto"/>
          <w:sz w:val="22"/>
          <w:szCs w:val="22"/>
        </w:rPr>
        <w:t>s</w:t>
      </w:r>
      <w:r w:rsidR="00295D8A">
        <w:rPr>
          <w:rFonts w:asciiTheme="minorHAnsi" w:hAnsiTheme="minorHAnsi"/>
          <w:color w:val="auto"/>
          <w:sz w:val="22"/>
          <w:szCs w:val="22"/>
        </w:rPr>
        <w:t xml:space="preserve">takeholder </w:t>
      </w:r>
      <w:r w:rsidR="00295D8A" w:rsidRPr="00295D8A">
        <w:rPr>
          <w:rFonts w:asciiTheme="minorHAnsi" w:hAnsiTheme="minorHAnsi"/>
          <w:color w:val="auto"/>
          <w:sz w:val="22"/>
          <w:szCs w:val="22"/>
        </w:rPr>
        <w:t xml:space="preserve">requirements </w:t>
      </w:r>
      <w:r w:rsidR="00295D8A">
        <w:rPr>
          <w:rFonts w:asciiTheme="minorHAnsi" w:hAnsiTheme="minorHAnsi"/>
          <w:color w:val="auto"/>
          <w:sz w:val="22"/>
          <w:szCs w:val="22"/>
        </w:rPr>
        <w:t>have been documented and are included in an independent report about</w:t>
      </w:r>
      <w:r w:rsidR="00295D8A" w:rsidRPr="00295D8A">
        <w:rPr>
          <w:rFonts w:asciiTheme="minorHAnsi" w:hAnsiTheme="minorHAnsi"/>
          <w:color w:val="auto"/>
          <w:sz w:val="22"/>
          <w:szCs w:val="22"/>
        </w:rPr>
        <w:t xml:space="preserve"> the </w:t>
      </w:r>
      <w:r w:rsidR="00295D8A">
        <w:rPr>
          <w:rFonts w:asciiTheme="minorHAnsi" w:hAnsiTheme="minorHAnsi"/>
          <w:color w:val="auto"/>
          <w:sz w:val="22"/>
          <w:szCs w:val="22"/>
        </w:rPr>
        <w:t>future</w:t>
      </w:r>
      <w:r w:rsidR="00295D8A" w:rsidRPr="00295D8A">
        <w:rPr>
          <w:rFonts w:asciiTheme="minorHAnsi" w:hAnsiTheme="minorHAnsi"/>
          <w:color w:val="auto"/>
          <w:sz w:val="22"/>
          <w:szCs w:val="22"/>
        </w:rPr>
        <w:t xml:space="preserve"> development of the National Electronic Application Tracking system (NEATS) –</w:t>
      </w:r>
      <w:r w:rsidR="00295D8A">
        <w:rPr>
          <w:rFonts w:asciiTheme="minorHAnsi" w:hAnsiTheme="minorHAnsi"/>
          <w:color w:val="auto"/>
          <w:sz w:val="22"/>
          <w:szCs w:val="22"/>
        </w:rPr>
        <w:t xml:space="preserve"> </w:t>
      </w:r>
      <w:r w:rsidR="00295D8A" w:rsidRPr="00295D8A">
        <w:rPr>
          <w:rFonts w:asciiTheme="minorHAnsi" w:hAnsiTheme="minorHAnsi"/>
          <w:color w:val="auto"/>
          <w:sz w:val="22"/>
          <w:szCs w:val="22"/>
        </w:rPr>
        <w:t xml:space="preserve">the </w:t>
      </w:r>
      <w:r w:rsidR="00295D8A" w:rsidRPr="00525C9D">
        <w:rPr>
          <w:rFonts w:asciiTheme="minorHAnsi" w:hAnsiTheme="minorHAnsi"/>
          <w:color w:val="auto"/>
          <w:sz w:val="22"/>
          <w:szCs w:val="22"/>
        </w:rPr>
        <w:t>NEATS 2020 project</w:t>
      </w:r>
      <w:r w:rsidR="00295D8A" w:rsidRPr="00295D8A">
        <w:rPr>
          <w:rFonts w:asciiTheme="minorHAnsi" w:hAnsiTheme="minorHAnsi"/>
          <w:color w:val="auto"/>
          <w:sz w:val="22"/>
          <w:szCs w:val="22"/>
        </w:rPr>
        <w:t>.</w:t>
      </w:r>
      <w:r w:rsidR="000D3731">
        <w:rPr>
          <w:rFonts w:asciiTheme="minorHAnsi" w:hAnsiTheme="minorHAnsi"/>
          <w:color w:val="auto"/>
          <w:sz w:val="22"/>
          <w:szCs w:val="22"/>
        </w:rPr>
        <w:t xml:space="preserve"> </w:t>
      </w:r>
    </w:p>
    <w:p w14:paraId="4488D633" w14:textId="77777777" w:rsidR="00351ECA" w:rsidRDefault="00351ECA" w:rsidP="00351ECA">
      <w:pPr>
        <w:pStyle w:val="Heading2"/>
        <w:spacing w:line="240" w:lineRule="auto"/>
        <w:rPr>
          <w:b/>
        </w:rPr>
      </w:pPr>
      <w:r>
        <w:rPr>
          <w:b/>
        </w:rPr>
        <w:br w:type="page"/>
      </w:r>
      <w:bookmarkStart w:id="35" w:name="_Toc497215488"/>
      <w:r>
        <w:rPr>
          <w:b/>
        </w:rPr>
        <w:lastRenderedPageBreak/>
        <w:t>KPI</w:t>
      </w:r>
      <w:r w:rsidRPr="00A37C75">
        <w:rPr>
          <w:b/>
        </w:rPr>
        <w:t xml:space="preserve"> 6</w:t>
      </w:r>
      <w:r>
        <w:rPr>
          <w:b/>
        </w:rPr>
        <w:t>: Regulators</w:t>
      </w:r>
      <w:r w:rsidRPr="00A37C75">
        <w:rPr>
          <w:b/>
        </w:rPr>
        <w:t xml:space="preserve"> actively contribute to the continuous improvement of regulatory frameworks</w:t>
      </w:r>
      <w:bookmarkEnd w:id="35"/>
      <w:r w:rsidRPr="00A37C75">
        <w:rPr>
          <w:b/>
        </w:rPr>
        <w:t xml:space="preserve"> </w:t>
      </w:r>
    </w:p>
    <w:p w14:paraId="508E2A3C" w14:textId="77777777" w:rsidR="00351ECA" w:rsidRDefault="00351ECA" w:rsidP="000D3731">
      <w:pPr>
        <w:pStyle w:val="Heading3"/>
      </w:pPr>
      <w:bookmarkStart w:id="36" w:name="_Toc497215489"/>
      <w:r>
        <w:t>KPI Expectations</w:t>
      </w:r>
      <w:bookmarkEnd w:id="36"/>
    </w:p>
    <w:p w14:paraId="78F7131D" w14:textId="77777777" w:rsidR="00351ECA" w:rsidRPr="00FF2FAE" w:rsidRDefault="00351ECA" w:rsidP="00351ECA">
      <w:pPr>
        <w:spacing w:line="240" w:lineRule="auto"/>
      </w:pPr>
      <w:r>
        <w:t>Regulators will actively contribute to the continuous improvement of the regulatory framework, including establishing cooperative and collaborative relationships with stakeholders and regularly seeking and sharing feedback.</w:t>
      </w:r>
    </w:p>
    <w:p w14:paraId="39A53F24" w14:textId="77777777" w:rsidR="00351ECA" w:rsidRDefault="00351ECA" w:rsidP="000D3731">
      <w:pPr>
        <w:pStyle w:val="Heading3"/>
      </w:pPr>
      <w:bookmarkStart w:id="37" w:name="_Toc497215490"/>
      <w:r>
        <w:t>NOPTA’s Approach</w:t>
      </w:r>
      <w:bookmarkEnd w:id="37"/>
      <w:r w:rsidRPr="00686DDC">
        <w:t xml:space="preserve"> </w:t>
      </w:r>
    </w:p>
    <w:p w14:paraId="13740872" w14:textId="06846DD4" w:rsidR="00351ECA" w:rsidRDefault="005B2509" w:rsidP="00351ECA">
      <w:pPr>
        <w:spacing w:line="240" w:lineRule="auto"/>
      </w:pPr>
      <w:r>
        <w:t>We are</w:t>
      </w:r>
      <w:r w:rsidR="00351ECA">
        <w:t xml:space="preserve"> committed to continuous improvement with a culture that embraces innovation, efficiency and stakeholder engagement.  This is reflected in our daily business practices and in the attitude and commitment of our staff.  </w:t>
      </w:r>
    </w:p>
    <w:p w14:paraId="6574B203" w14:textId="741788B6" w:rsidR="00351ECA" w:rsidRDefault="005B2509" w:rsidP="00351ECA">
      <w:pPr>
        <w:spacing w:line="240" w:lineRule="auto"/>
      </w:pPr>
      <w:r>
        <w:t>Since our commencement in 2012, the development of a series of protocols and operational policies ensured that</w:t>
      </w:r>
      <w:r w:rsidR="00351ECA">
        <w:t xml:space="preserve"> </w:t>
      </w:r>
      <w:r>
        <w:t xml:space="preserve">we </w:t>
      </w:r>
      <w:r w:rsidR="00351ECA">
        <w:t xml:space="preserve">could discharge </w:t>
      </w:r>
      <w:r>
        <w:t xml:space="preserve">our </w:t>
      </w:r>
      <w:r w:rsidR="00351ECA">
        <w:t xml:space="preserve">responsibilities efficiently.  The maturation of the relationship between NOPTA and </w:t>
      </w:r>
      <w:r>
        <w:t xml:space="preserve">our </w:t>
      </w:r>
      <w:r w:rsidR="00351ECA">
        <w:t xml:space="preserve">government and industry stakeholders has enabled informal and formal feedback mechanisms.  </w:t>
      </w:r>
    </w:p>
    <w:p w14:paraId="48DE0A8F" w14:textId="77777777" w:rsidR="00351ECA" w:rsidRDefault="00351ECA" w:rsidP="000D3731">
      <w:pPr>
        <w:pStyle w:val="Heading3"/>
      </w:pPr>
      <w:bookmarkStart w:id="38" w:name="_Toc497215491"/>
      <w:r>
        <w:t>Results</w:t>
      </w:r>
      <w:bookmarkEnd w:id="38"/>
    </w:p>
    <w:p w14:paraId="0947F841" w14:textId="47C492AB" w:rsidR="00351ECA" w:rsidRPr="00852951" w:rsidRDefault="00351ECA" w:rsidP="00525C9D">
      <w:pPr>
        <w:pStyle w:val="ListParagraph"/>
        <w:numPr>
          <w:ilvl w:val="0"/>
          <w:numId w:val="2"/>
        </w:numPr>
        <w:spacing w:after="120"/>
        <w:ind w:left="426" w:hanging="426"/>
        <w:contextualSpacing w:val="0"/>
        <w:rPr>
          <w:rFonts w:asciiTheme="minorHAnsi" w:eastAsiaTheme="minorHAnsi" w:hAnsiTheme="minorHAnsi" w:cstheme="minorBidi"/>
          <w:color w:val="auto"/>
          <w:sz w:val="22"/>
          <w:szCs w:val="22"/>
          <w:lang w:eastAsia="en-US"/>
        </w:rPr>
      </w:pPr>
      <w:r w:rsidRPr="00852951">
        <w:rPr>
          <w:rFonts w:asciiTheme="minorHAnsi" w:hAnsiTheme="minorHAnsi"/>
          <w:color w:val="auto"/>
          <w:sz w:val="22"/>
          <w:szCs w:val="22"/>
        </w:rPr>
        <w:t xml:space="preserve">The survey noted that 98 per cent of respondents considered that </w:t>
      </w:r>
      <w:r w:rsidR="006820D7">
        <w:rPr>
          <w:rFonts w:asciiTheme="minorHAnsi" w:hAnsiTheme="minorHAnsi"/>
          <w:color w:val="auto"/>
          <w:sz w:val="22"/>
          <w:szCs w:val="22"/>
        </w:rPr>
        <w:t>we are</w:t>
      </w:r>
      <w:r w:rsidR="006820D7" w:rsidRPr="00852951">
        <w:rPr>
          <w:rFonts w:asciiTheme="minorHAnsi" w:hAnsiTheme="minorHAnsi"/>
          <w:color w:val="auto"/>
          <w:sz w:val="22"/>
          <w:szCs w:val="22"/>
        </w:rPr>
        <w:t xml:space="preserve"> </w:t>
      </w:r>
      <w:r w:rsidRPr="00852951">
        <w:rPr>
          <w:rFonts w:asciiTheme="minorHAnsi" w:eastAsiaTheme="minorHAnsi" w:hAnsiTheme="minorHAnsi" w:cstheme="minorBidi"/>
          <w:color w:val="auto"/>
          <w:sz w:val="22"/>
          <w:szCs w:val="22"/>
          <w:lang w:eastAsia="en-US"/>
        </w:rPr>
        <w:t>comm</w:t>
      </w:r>
      <w:r>
        <w:rPr>
          <w:rFonts w:asciiTheme="minorHAnsi" w:eastAsiaTheme="minorHAnsi" w:hAnsiTheme="minorHAnsi" w:cstheme="minorBidi"/>
          <w:color w:val="auto"/>
          <w:sz w:val="22"/>
          <w:szCs w:val="22"/>
          <w:lang w:eastAsia="en-US"/>
        </w:rPr>
        <w:t>itted to continuous improvement</w:t>
      </w:r>
      <w:r w:rsidRPr="00172533">
        <w:rPr>
          <w:rFonts w:asciiTheme="minorHAnsi" w:eastAsiaTheme="minorHAnsi" w:hAnsiTheme="minorHAnsi" w:cstheme="minorBidi"/>
          <w:color w:val="auto"/>
          <w:sz w:val="22"/>
          <w:szCs w:val="22"/>
          <w:vertAlign w:val="superscript"/>
          <w:lang w:eastAsia="en-US"/>
        </w:rPr>
        <w:footnoteReference w:id="6"/>
      </w:r>
      <w:r>
        <w:rPr>
          <w:rFonts w:asciiTheme="minorHAnsi" w:eastAsiaTheme="minorHAnsi" w:hAnsiTheme="minorHAnsi" w:cstheme="minorBidi"/>
          <w:color w:val="auto"/>
          <w:sz w:val="22"/>
          <w:szCs w:val="22"/>
          <w:lang w:eastAsia="en-US"/>
        </w:rPr>
        <w:t>.</w:t>
      </w:r>
      <w:r w:rsidRPr="00852951">
        <w:rPr>
          <w:rFonts w:asciiTheme="minorHAnsi" w:eastAsiaTheme="minorHAnsi" w:hAnsiTheme="minorHAnsi" w:cstheme="minorBidi"/>
          <w:color w:val="auto"/>
          <w:sz w:val="22"/>
          <w:szCs w:val="22"/>
          <w:vertAlign w:val="superscript"/>
          <w:lang w:eastAsia="en-US"/>
        </w:rPr>
        <w:t xml:space="preserve"> </w:t>
      </w:r>
    </w:p>
    <w:p w14:paraId="290B8319" w14:textId="77777777" w:rsidR="00351ECA" w:rsidRDefault="00351ECA" w:rsidP="00525C9D">
      <w:pPr>
        <w:pStyle w:val="ListParagraph"/>
        <w:numPr>
          <w:ilvl w:val="0"/>
          <w:numId w:val="2"/>
        </w:numPr>
        <w:spacing w:after="120"/>
        <w:ind w:left="426" w:hanging="426"/>
        <w:contextualSpacing w:val="0"/>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Titleholder </w:t>
      </w:r>
      <w:r w:rsidRPr="00525C9D">
        <w:rPr>
          <w:rFonts w:asciiTheme="minorHAnsi" w:hAnsiTheme="minorHAnsi"/>
          <w:color w:val="auto"/>
          <w:sz w:val="22"/>
          <w:szCs w:val="22"/>
        </w:rPr>
        <w:t>satisfaction</w:t>
      </w:r>
      <w:r>
        <w:rPr>
          <w:rFonts w:asciiTheme="minorHAnsi" w:eastAsiaTheme="minorHAnsi" w:hAnsiTheme="minorHAnsi" w:cstheme="minorBidi"/>
          <w:color w:val="auto"/>
          <w:sz w:val="22"/>
          <w:szCs w:val="22"/>
          <w:lang w:eastAsia="en-US"/>
        </w:rPr>
        <w:t xml:space="preserve"> in providing information to NOPTA has improved in the 2017 stakeholder survey compared to 2016 on:</w:t>
      </w:r>
    </w:p>
    <w:p w14:paraId="39B11360" w14:textId="77777777" w:rsidR="00351ECA" w:rsidRDefault="00351ECA" w:rsidP="00C43793">
      <w:pPr>
        <w:pStyle w:val="ListParagraph"/>
        <w:numPr>
          <w:ilvl w:val="1"/>
          <w:numId w:val="9"/>
        </w:numPr>
        <w:spacing w:after="60"/>
        <w:ind w:left="851" w:hanging="425"/>
        <w:contextualSpacing w:val="0"/>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the time and effort spent on providing information is reasonable;</w:t>
      </w:r>
    </w:p>
    <w:p w14:paraId="594113AE" w14:textId="77777777" w:rsidR="00351ECA" w:rsidRDefault="00351ECA" w:rsidP="00C43793">
      <w:pPr>
        <w:pStyle w:val="ListParagraph"/>
        <w:numPr>
          <w:ilvl w:val="1"/>
          <w:numId w:val="9"/>
        </w:numPr>
        <w:spacing w:after="60"/>
        <w:ind w:left="851" w:hanging="425"/>
        <w:contextualSpacing w:val="0"/>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the level of information required is reasonable; and</w:t>
      </w:r>
    </w:p>
    <w:p w14:paraId="309CD0D4" w14:textId="5F40529E" w:rsidR="00351ECA" w:rsidRPr="001930DF" w:rsidRDefault="00351ECA" w:rsidP="00C43793">
      <w:pPr>
        <w:pStyle w:val="ListParagraph"/>
        <w:numPr>
          <w:ilvl w:val="1"/>
          <w:numId w:val="9"/>
        </w:numPr>
        <w:spacing w:after="120"/>
        <w:ind w:left="851" w:hanging="425"/>
        <w:contextualSpacing w:val="0"/>
        <w:rPr>
          <w:rFonts w:asciiTheme="minorHAnsi" w:eastAsiaTheme="minorHAnsi" w:hAnsiTheme="minorHAnsi" w:cstheme="minorBidi"/>
          <w:color w:val="auto"/>
          <w:sz w:val="22"/>
          <w:szCs w:val="22"/>
          <w:lang w:eastAsia="en-US"/>
        </w:rPr>
      </w:pPr>
      <w:proofErr w:type="gramStart"/>
      <w:r w:rsidRPr="001930DF">
        <w:rPr>
          <w:rFonts w:asciiTheme="minorHAnsi" w:eastAsiaTheme="minorHAnsi" w:hAnsiTheme="minorHAnsi" w:cstheme="minorBidi"/>
          <w:color w:val="auto"/>
          <w:sz w:val="22"/>
          <w:szCs w:val="22"/>
          <w:lang w:eastAsia="en-US"/>
        </w:rPr>
        <w:t>understanding</w:t>
      </w:r>
      <w:proofErr w:type="gramEnd"/>
      <w:r w:rsidRPr="001930DF">
        <w:rPr>
          <w:rFonts w:asciiTheme="minorHAnsi" w:eastAsiaTheme="minorHAnsi" w:hAnsiTheme="minorHAnsi" w:cstheme="minorBidi"/>
          <w:color w:val="auto"/>
          <w:sz w:val="22"/>
          <w:szCs w:val="22"/>
          <w:lang w:eastAsia="en-US"/>
        </w:rPr>
        <w:t xml:space="preserve"> why </w:t>
      </w:r>
      <w:r w:rsidR="00612CD9">
        <w:rPr>
          <w:rFonts w:asciiTheme="minorHAnsi" w:eastAsiaTheme="minorHAnsi" w:hAnsiTheme="minorHAnsi" w:cstheme="minorBidi"/>
          <w:color w:val="auto"/>
          <w:sz w:val="22"/>
          <w:szCs w:val="22"/>
          <w:lang w:eastAsia="en-US"/>
        </w:rPr>
        <w:t>NOPTA</w:t>
      </w:r>
      <w:r w:rsidR="006820D7" w:rsidRPr="001930DF">
        <w:rPr>
          <w:rFonts w:asciiTheme="minorHAnsi" w:eastAsiaTheme="minorHAnsi" w:hAnsiTheme="minorHAnsi" w:cstheme="minorBidi"/>
          <w:color w:val="auto"/>
          <w:sz w:val="22"/>
          <w:szCs w:val="22"/>
          <w:lang w:eastAsia="en-US"/>
        </w:rPr>
        <w:t xml:space="preserve"> </w:t>
      </w:r>
      <w:r w:rsidRPr="001930DF">
        <w:rPr>
          <w:rFonts w:asciiTheme="minorHAnsi" w:eastAsiaTheme="minorHAnsi" w:hAnsiTheme="minorHAnsi" w:cstheme="minorBidi"/>
          <w:color w:val="auto"/>
          <w:sz w:val="22"/>
          <w:szCs w:val="22"/>
          <w:lang w:eastAsia="en-US"/>
        </w:rPr>
        <w:t>need</w:t>
      </w:r>
      <w:r w:rsidR="00612CD9">
        <w:rPr>
          <w:rFonts w:asciiTheme="minorHAnsi" w:eastAsiaTheme="minorHAnsi" w:hAnsiTheme="minorHAnsi" w:cstheme="minorBidi"/>
          <w:color w:val="auto"/>
          <w:sz w:val="22"/>
          <w:szCs w:val="22"/>
          <w:lang w:eastAsia="en-US"/>
        </w:rPr>
        <w:t>s</w:t>
      </w:r>
      <w:r w:rsidRPr="001930DF">
        <w:rPr>
          <w:rFonts w:asciiTheme="minorHAnsi" w:eastAsiaTheme="minorHAnsi" w:hAnsiTheme="minorHAnsi" w:cstheme="minorBidi"/>
          <w:color w:val="auto"/>
          <w:sz w:val="22"/>
          <w:szCs w:val="22"/>
          <w:lang w:eastAsia="en-US"/>
        </w:rPr>
        <w:t xml:space="preserve"> the information </w:t>
      </w:r>
      <w:r w:rsidR="006820D7">
        <w:rPr>
          <w:rFonts w:asciiTheme="minorHAnsi" w:eastAsiaTheme="minorHAnsi" w:hAnsiTheme="minorHAnsi" w:cstheme="minorBidi"/>
          <w:color w:val="auto"/>
          <w:sz w:val="22"/>
          <w:szCs w:val="22"/>
          <w:lang w:eastAsia="en-US"/>
        </w:rPr>
        <w:t xml:space="preserve">we </w:t>
      </w:r>
      <w:r w:rsidRPr="001930DF">
        <w:rPr>
          <w:rFonts w:asciiTheme="minorHAnsi" w:eastAsiaTheme="minorHAnsi" w:hAnsiTheme="minorHAnsi" w:cstheme="minorBidi"/>
          <w:color w:val="auto"/>
          <w:sz w:val="22"/>
          <w:szCs w:val="22"/>
          <w:lang w:eastAsia="en-US"/>
        </w:rPr>
        <w:t>ask for.</w:t>
      </w:r>
    </w:p>
    <w:p w14:paraId="0E31DEF8" w14:textId="0441E4CF" w:rsidR="00022F69" w:rsidRDefault="00351ECA" w:rsidP="00525C9D">
      <w:pPr>
        <w:pStyle w:val="ListParagraph"/>
        <w:numPr>
          <w:ilvl w:val="0"/>
          <w:numId w:val="2"/>
        </w:numPr>
        <w:spacing w:after="120"/>
        <w:ind w:left="426" w:hanging="426"/>
        <w:contextualSpacing w:val="0"/>
        <w:rPr>
          <w:rFonts w:asciiTheme="minorHAnsi" w:hAnsiTheme="minorHAnsi"/>
          <w:color w:val="auto"/>
          <w:sz w:val="22"/>
          <w:szCs w:val="22"/>
        </w:rPr>
      </w:pPr>
      <w:r w:rsidRPr="001930DF">
        <w:rPr>
          <w:rFonts w:asciiTheme="minorHAnsi" w:hAnsiTheme="minorHAnsi"/>
          <w:color w:val="auto"/>
          <w:sz w:val="22"/>
          <w:szCs w:val="22"/>
        </w:rPr>
        <w:t xml:space="preserve">The survey had </w:t>
      </w:r>
      <w:r w:rsidR="006820D7">
        <w:rPr>
          <w:rFonts w:asciiTheme="minorHAnsi" w:hAnsiTheme="minorHAnsi"/>
          <w:color w:val="auto"/>
          <w:sz w:val="22"/>
          <w:szCs w:val="22"/>
        </w:rPr>
        <w:t xml:space="preserve">improvement </w:t>
      </w:r>
      <w:r w:rsidRPr="001930DF">
        <w:rPr>
          <w:rFonts w:asciiTheme="minorHAnsi" w:hAnsiTheme="minorHAnsi"/>
          <w:color w:val="auto"/>
          <w:sz w:val="22"/>
          <w:szCs w:val="22"/>
        </w:rPr>
        <w:t xml:space="preserve">suggestions </w:t>
      </w:r>
      <w:r w:rsidR="006820D7">
        <w:rPr>
          <w:rFonts w:asciiTheme="minorHAnsi" w:hAnsiTheme="minorHAnsi"/>
          <w:color w:val="auto"/>
          <w:sz w:val="22"/>
          <w:szCs w:val="22"/>
        </w:rPr>
        <w:t>on</w:t>
      </w:r>
      <w:r w:rsidR="00022F69">
        <w:rPr>
          <w:rFonts w:asciiTheme="minorHAnsi" w:hAnsiTheme="minorHAnsi"/>
          <w:color w:val="auto"/>
          <w:sz w:val="22"/>
          <w:szCs w:val="22"/>
        </w:rPr>
        <w:t>:</w:t>
      </w:r>
      <w:r w:rsidRPr="001930DF">
        <w:rPr>
          <w:rFonts w:asciiTheme="minorHAnsi" w:hAnsiTheme="minorHAnsi"/>
          <w:color w:val="auto"/>
          <w:sz w:val="22"/>
          <w:szCs w:val="22"/>
        </w:rPr>
        <w:t xml:space="preserve"> </w:t>
      </w:r>
    </w:p>
    <w:p w14:paraId="5A730FC6" w14:textId="54E4298C" w:rsidR="00022F69" w:rsidRDefault="006E0DF6" w:rsidP="002D6737">
      <w:pPr>
        <w:pStyle w:val="ListParagraph"/>
        <w:numPr>
          <w:ilvl w:val="1"/>
          <w:numId w:val="9"/>
        </w:numPr>
        <w:spacing w:after="60"/>
        <w:ind w:left="851" w:hanging="425"/>
        <w:contextualSpacing w:val="0"/>
        <w:rPr>
          <w:rFonts w:asciiTheme="minorHAnsi" w:eastAsiaTheme="minorHAnsi" w:hAnsiTheme="minorHAnsi" w:cstheme="minorBidi"/>
          <w:color w:val="auto"/>
          <w:sz w:val="22"/>
          <w:szCs w:val="22"/>
          <w:lang w:eastAsia="en-US"/>
        </w:rPr>
      </w:pPr>
      <w:r w:rsidRPr="001930DF">
        <w:rPr>
          <w:rFonts w:asciiTheme="minorHAnsi" w:hAnsiTheme="minorHAnsi"/>
          <w:color w:val="auto"/>
          <w:sz w:val="22"/>
          <w:szCs w:val="22"/>
        </w:rPr>
        <w:t>how</w:t>
      </w:r>
      <w:r w:rsidRPr="002D6737" w:rsidDel="006E0DF6">
        <w:rPr>
          <w:rFonts w:asciiTheme="minorHAnsi" w:eastAsiaTheme="minorHAnsi" w:hAnsiTheme="minorHAnsi" w:cstheme="minorBidi"/>
          <w:color w:val="auto"/>
          <w:sz w:val="22"/>
          <w:szCs w:val="22"/>
          <w:lang w:eastAsia="en-US"/>
        </w:rPr>
        <w:t xml:space="preserve"> </w:t>
      </w:r>
      <w:r>
        <w:rPr>
          <w:rFonts w:asciiTheme="minorHAnsi" w:eastAsiaTheme="minorHAnsi" w:hAnsiTheme="minorHAnsi" w:cstheme="minorBidi"/>
          <w:color w:val="auto"/>
          <w:sz w:val="22"/>
          <w:szCs w:val="22"/>
          <w:lang w:eastAsia="en-US"/>
        </w:rPr>
        <w:t>we</w:t>
      </w:r>
      <w:r w:rsidRPr="002D6737">
        <w:rPr>
          <w:rFonts w:asciiTheme="minorHAnsi" w:eastAsiaTheme="minorHAnsi" w:hAnsiTheme="minorHAnsi" w:cstheme="minorBidi"/>
          <w:color w:val="auto"/>
          <w:sz w:val="22"/>
          <w:szCs w:val="22"/>
          <w:lang w:eastAsia="en-US"/>
        </w:rPr>
        <w:t xml:space="preserve"> </w:t>
      </w:r>
      <w:r w:rsidR="00351ECA" w:rsidRPr="002D6737">
        <w:rPr>
          <w:rFonts w:asciiTheme="minorHAnsi" w:eastAsiaTheme="minorHAnsi" w:hAnsiTheme="minorHAnsi" w:cstheme="minorBidi"/>
          <w:color w:val="auto"/>
          <w:sz w:val="22"/>
          <w:szCs w:val="22"/>
          <w:lang w:eastAsia="en-US"/>
        </w:rPr>
        <w:t>rationalise and set cost recovery arrangements</w:t>
      </w:r>
      <w:r>
        <w:rPr>
          <w:rFonts w:asciiTheme="minorHAnsi" w:eastAsiaTheme="minorHAnsi" w:hAnsiTheme="minorHAnsi" w:cstheme="minorBidi"/>
          <w:color w:val="auto"/>
          <w:sz w:val="22"/>
          <w:szCs w:val="22"/>
          <w:lang w:eastAsia="en-US"/>
        </w:rPr>
        <w:t>;</w:t>
      </w:r>
      <w:r w:rsidR="00022F69" w:rsidRPr="002D6737">
        <w:rPr>
          <w:rFonts w:asciiTheme="minorHAnsi" w:eastAsiaTheme="minorHAnsi" w:hAnsiTheme="minorHAnsi" w:cstheme="minorBidi"/>
          <w:color w:val="auto"/>
          <w:sz w:val="22"/>
          <w:szCs w:val="22"/>
          <w:lang w:eastAsia="en-US"/>
        </w:rPr>
        <w:t xml:space="preserve"> </w:t>
      </w:r>
    </w:p>
    <w:p w14:paraId="22C35F9C" w14:textId="7FAEBA75" w:rsidR="00022F69" w:rsidRDefault="00351ECA" w:rsidP="002D6737">
      <w:pPr>
        <w:pStyle w:val="ListParagraph"/>
        <w:numPr>
          <w:ilvl w:val="1"/>
          <w:numId w:val="9"/>
        </w:numPr>
        <w:spacing w:after="60"/>
        <w:ind w:left="851" w:hanging="425"/>
        <w:contextualSpacing w:val="0"/>
        <w:rPr>
          <w:rFonts w:asciiTheme="minorHAnsi" w:eastAsiaTheme="minorHAnsi" w:hAnsiTheme="minorHAnsi" w:cstheme="minorBidi"/>
          <w:color w:val="auto"/>
          <w:sz w:val="22"/>
          <w:szCs w:val="22"/>
          <w:lang w:eastAsia="en-US"/>
        </w:rPr>
      </w:pPr>
      <w:r w:rsidRPr="002D6737">
        <w:rPr>
          <w:rFonts w:asciiTheme="minorHAnsi" w:eastAsiaTheme="minorHAnsi" w:hAnsiTheme="minorHAnsi" w:cstheme="minorBidi"/>
          <w:color w:val="auto"/>
          <w:sz w:val="22"/>
          <w:szCs w:val="22"/>
          <w:lang w:eastAsia="en-US"/>
        </w:rPr>
        <w:t>the availability or transparency of information provided to NOPTA</w:t>
      </w:r>
      <w:r w:rsidR="006E0DF6">
        <w:rPr>
          <w:rFonts w:asciiTheme="minorHAnsi" w:eastAsiaTheme="minorHAnsi" w:hAnsiTheme="minorHAnsi" w:cstheme="minorBidi"/>
          <w:color w:val="auto"/>
          <w:sz w:val="22"/>
          <w:szCs w:val="22"/>
          <w:lang w:eastAsia="en-US"/>
        </w:rPr>
        <w:t>; and</w:t>
      </w:r>
      <w:r w:rsidRPr="002D6737">
        <w:rPr>
          <w:rFonts w:asciiTheme="minorHAnsi" w:eastAsiaTheme="minorHAnsi" w:hAnsiTheme="minorHAnsi" w:cstheme="minorBidi"/>
          <w:color w:val="auto"/>
          <w:sz w:val="22"/>
          <w:szCs w:val="22"/>
          <w:lang w:eastAsia="en-US"/>
        </w:rPr>
        <w:t xml:space="preserve"> </w:t>
      </w:r>
    </w:p>
    <w:p w14:paraId="3E54BFF5" w14:textId="6D340F9D" w:rsidR="00022F69" w:rsidRDefault="00351ECA" w:rsidP="002D6737">
      <w:pPr>
        <w:pStyle w:val="ListParagraph"/>
        <w:numPr>
          <w:ilvl w:val="1"/>
          <w:numId w:val="9"/>
        </w:numPr>
        <w:spacing w:after="60"/>
        <w:ind w:left="851" w:hanging="425"/>
        <w:contextualSpacing w:val="0"/>
        <w:rPr>
          <w:rFonts w:asciiTheme="minorHAnsi" w:eastAsiaTheme="minorHAnsi" w:hAnsiTheme="minorHAnsi" w:cstheme="minorBidi"/>
          <w:color w:val="auto"/>
          <w:sz w:val="22"/>
          <w:szCs w:val="22"/>
          <w:lang w:eastAsia="en-US"/>
        </w:rPr>
      </w:pPr>
      <w:proofErr w:type="gramStart"/>
      <w:r w:rsidRPr="002D6737">
        <w:rPr>
          <w:rFonts w:asciiTheme="minorHAnsi" w:eastAsiaTheme="minorHAnsi" w:hAnsiTheme="minorHAnsi" w:cstheme="minorBidi"/>
          <w:color w:val="auto"/>
          <w:sz w:val="22"/>
          <w:szCs w:val="22"/>
          <w:lang w:eastAsia="en-US"/>
        </w:rPr>
        <w:t>improving</w:t>
      </w:r>
      <w:proofErr w:type="gramEnd"/>
      <w:r w:rsidRPr="002D6737">
        <w:rPr>
          <w:rFonts w:asciiTheme="minorHAnsi" w:eastAsiaTheme="minorHAnsi" w:hAnsiTheme="minorHAnsi" w:cstheme="minorBidi"/>
          <w:color w:val="auto"/>
          <w:sz w:val="22"/>
          <w:szCs w:val="22"/>
          <w:lang w:eastAsia="en-US"/>
        </w:rPr>
        <w:t xml:space="preserve"> administrative processes. </w:t>
      </w:r>
      <w:r w:rsidR="00A557DA" w:rsidRPr="002D6737">
        <w:rPr>
          <w:rFonts w:asciiTheme="minorHAnsi" w:eastAsiaTheme="minorHAnsi" w:hAnsiTheme="minorHAnsi" w:cstheme="minorBidi"/>
          <w:color w:val="auto"/>
          <w:sz w:val="22"/>
          <w:szCs w:val="22"/>
          <w:lang w:eastAsia="en-US"/>
        </w:rPr>
        <w:t xml:space="preserve"> </w:t>
      </w:r>
    </w:p>
    <w:p w14:paraId="68BBF763" w14:textId="0147F6A5" w:rsidR="001930DF" w:rsidRPr="002D6737" w:rsidRDefault="006820D7" w:rsidP="002D6737">
      <w:pPr>
        <w:spacing w:after="60"/>
        <w:ind w:left="426"/>
      </w:pPr>
      <w:r w:rsidRPr="002D6737">
        <w:t xml:space="preserve">We </w:t>
      </w:r>
      <w:r w:rsidR="00D31F86" w:rsidRPr="002D6737">
        <w:t>will implement improvement opportunities as appropriate.</w:t>
      </w:r>
    </w:p>
    <w:p w14:paraId="23CD0F23" w14:textId="7BFD15CB" w:rsidR="00351ECA" w:rsidRPr="001930DF" w:rsidRDefault="00DF2D27" w:rsidP="00525C9D">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We</w:t>
      </w:r>
      <w:r w:rsidRPr="001930DF">
        <w:rPr>
          <w:rFonts w:asciiTheme="minorHAnsi" w:hAnsiTheme="minorHAnsi"/>
          <w:color w:val="auto"/>
          <w:sz w:val="22"/>
          <w:szCs w:val="22"/>
        </w:rPr>
        <w:t xml:space="preserve"> </w:t>
      </w:r>
      <w:r w:rsidR="00351ECA" w:rsidRPr="001930DF">
        <w:rPr>
          <w:rFonts w:asciiTheme="minorHAnsi" w:hAnsiTheme="minorHAnsi"/>
          <w:color w:val="auto"/>
          <w:sz w:val="22"/>
          <w:szCs w:val="22"/>
        </w:rPr>
        <w:t xml:space="preserve">provided input and technical support to legislative amendments and new policy initiatives led </w:t>
      </w:r>
      <w:r w:rsidR="001930DF" w:rsidRPr="001930DF">
        <w:rPr>
          <w:rFonts w:asciiTheme="minorHAnsi" w:hAnsiTheme="minorHAnsi"/>
          <w:color w:val="auto"/>
          <w:sz w:val="22"/>
          <w:szCs w:val="22"/>
        </w:rPr>
        <w:t>by the</w:t>
      </w:r>
      <w:r w:rsidR="00C573F4" w:rsidRPr="001930DF">
        <w:rPr>
          <w:rFonts w:asciiTheme="minorHAnsi" w:hAnsiTheme="minorHAnsi"/>
          <w:color w:val="auto"/>
          <w:sz w:val="22"/>
          <w:szCs w:val="22"/>
        </w:rPr>
        <w:t xml:space="preserve"> </w:t>
      </w:r>
      <w:r w:rsidR="00612CD9">
        <w:rPr>
          <w:rFonts w:asciiTheme="minorHAnsi" w:hAnsiTheme="minorHAnsi"/>
          <w:color w:val="auto"/>
          <w:sz w:val="22"/>
          <w:szCs w:val="22"/>
        </w:rPr>
        <w:t xml:space="preserve">department’s </w:t>
      </w:r>
      <w:r w:rsidR="00C573F4" w:rsidRPr="001930DF">
        <w:rPr>
          <w:rFonts w:asciiTheme="minorHAnsi" w:hAnsiTheme="minorHAnsi"/>
          <w:color w:val="auto"/>
          <w:sz w:val="22"/>
          <w:szCs w:val="22"/>
        </w:rPr>
        <w:t>Offshore Resources Branch</w:t>
      </w:r>
      <w:r>
        <w:rPr>
          <w:rFonts w:asciiTheme="minorHAnsi" w:hAnsiTheme="minorHAnsi"/>
          <w:color w:val="auto"/>
          <w:sz w:val="22"/>
          <w:szCs w:val="22"/>
        </w:rPr>
        <w:t>.</w:t>
      </w:r>
      <w:r w:rsidR="00925D25" w:rsidRPr="001930DF">
        <w:rPr>
          <w:rFonts w:asciiTheme="minorHAnsi" w:hAnsiTheme="minorHAnsi"/>
          <w:color w:val="auto"/>
          <w:sz w:val="22"/>
          <w:szCs w:val="22"/>
        </w:rPr>
        <w:t xml:space="preserve"> </w:t>
      </w:r>
    </w:p>
    <w:p w14:paraId="0CCA7B73" w14:textId="4ABFF98C" w:rsidR="00351ECA" w:rsidRDefault="005C3AF6" w:rsidP="00525C9D">
      <w:pPr>
        <w:pStyle w:val="ListParagraph"/>
        <w:numPr>
          <w:ilvl w:val="0"/>
          <w:numId w:val="2"/>
        </w:numPr>
        <w:spacing w:after="120"/>
        <w:ind w:left="426" w:hanging="426"/>
        <w:contextualSpacing w:val="0"/>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Published</w:t>
      </w:r>
      <w:r w:rsidR="00351ECA">
        <w:rPr>
          <w:rFonts w:asciiTheme="minorHAnsi" w:eastAsiaTheme="minorHAnsi" w:hAnsiTheme="minorHAnsi" w:cstheme="minorBidi"/>
          <w:color w:val="auto"/>
          <w:sz w:val="22"/>
          <w:szCs w:val="22"/>
          <w:lang w:eastAsia="en-US"/>
        </w:rPr>
        <w:t xml:space="preserve"> new </w:t>
      </w:r>
      <w:r w:rsidRPr="00525C9D">
        <w:rPr>
          <w:rFonts w:asciiTheme="minorHAnsi" w:hAnsiTheme="minorHAnsi"/>
          <w:color w:val="auto"/>
          <w:sz w:val="22"/>
          <w:szCs w:val="22"/>
        </w:rPr>
        <w:t>and</w:t>
      </w:r>
      <w:r>
        <w:rPr>
          <w:rFonts w:asciiTheme="minorHAnsi" w:eastAsiaTheme="minorHAnsi" w:hAnsiTheme="minorHAnsi" w:cstheme="minorBidi"/>
          <w:color w:val="auto"/>
          <w:sz w:val="22"/>
          <w:szCs w:val="22"/>
          <w:lang w:eastAsia="en-US"/>
        </w:rPr>
        <w:t xml:space="preserve"> updated </w:t>
      </w:r>
      <w:r w:rsidR="00351ECA">
        <w:rPr>
          <w:rFonts w:asciiTheme="minorHAnsi" w:eastAsiaTheme="minorHAnsi" w:hAnsiTheme="minorHAnsi" w:cstheme="minorBidi"/>
          <w:color w:val="auto"/>
          <w:sz w:val="22"/>
          <w:szCs w:val="22"/>
          <w:lang w:eastAsia="en-US"/>
        </w:rPr>
        <w:t>factsheets, guidelines, templates and application forms.</w:t>
      </w:r>
    </w:p>
    <w:p w14:paraId="18F45303" w14:textId="0B852A25" w:rsidR="00C2002B" w:rsidRPr="005D54E6" w:rsidRDefault="00DF2D27" w:rsidP="00525C9D">
      <w:pPr>
        <w:pStyle w:val="ListParagraph"/>
        <w:numPr>
          <w:ilvl w:val="0"/>
          <w:numId w:val="2"/>
        </w:numPr>
        <w:spacing w:after="120"/>
        <w:ind w:left="426" w:hanging="426"/>
        <w:contextualSpacing w:val="0"/>
      </w:pPr>
      <w:r>
        <w:rPr>
          <w:rFonts w:asciiTheme="minorHAnsi" w:hAnsiTheme="minorHAnsi"/>
          <w:color w:val="auto"/>
          <w:sz w:val="22"/>
          <w:szCs w:val="22"/>
        </w:rPr>
        <w:t>We</w:t>
      </w:r>
      <w:r w:rsidRPr="00BB3BF3">
        <w:rPr>
          <w:rFonts w:asciiTheme="minorHAnsi" w:hAnsiTheme="minorHAnsi"/>
          <w:color w:val="auto"/>
          <w:sz w:val="22"/>
          <w:szCs w:val="22"/>
        </w:rPr>
        <w:t xml:space="preserve"> </w:t>
      </w:r>
      <w:r w:rsidR="00C2002B" w:rsidRPr="00BB3BF3">
        <w:rPr>
          <w:rFonts w:asciiTheme="minorHAnsi" w:hAnsiTheme="minorHAnsi"/>
          <w:color w:val="auto"/>
          <w:sz w:val="22"/>
          <w:szCs w:val="22"/>
        </w:rPr>
        <w:t xml:space="preserve">provided input and advice into consultation processes for the mandatory reporting of petroleum statistics. </w:t>
      </w:r>
      <w:r w:rsidR="00C2002B">
        <w:rPr>
          <w:rFonts w:asciiTheme="minorHAnsi" w:hAnsiTheme="minorHAnsi"/>
          <w:color w:val="auto"/>
          <w:sz w:val="22"/>
          <w:szCs w:val="22"/>
        </w:rPr>
        <w:t xml:space="preserve"> </w:t>
      </w:r>
      <w:r>
        <w:rPr>
          <w:rFonts w:asciiTheme="minorHAnsi" w:hAnsiTheme="minorHAnsi"/>
          <w:color w:val="auto"/>
          <w:sz w:val="22"/>
          <w:szCs w:val="22"/>
        </w:rPr>
        <w:t xml:space="preserve">We </w:t>
      </w:r>
      <w:r w:rsidR="00C2002B">
        <w:rPr>
          <w:rFonts w:asciiTheme="minorHAnsi" w:hAnsiTheme="minorHAnsi"/>
          <w:color w:val="auto"/>
          <w:sz w:val="22"/>
          <w:szCs w:val="22"/>
        </w:rPr>
        <w:t xml:space="preserve">seek to minimise the regulatory burden of reporting for this initiative by exploring arrangements to share production data information with the Department of </w:t>
      </w:r>
      <w:r w:rsidR="001A4119">
        <w:rPr>
          <w:rFonts w:asciiTheme="minorHAnsi" w:hAnsiTheme="minorHAnsi"/>
          <w:color w:val="auto"/>
          <w:sz w:val="22"/>
          <w:szCs w:val="22"/>
        </w:rPr>
        <w:t xml:space="preserve">the </w:t>
      </w:r>
      <w:r w:rsidR="00C2002B">
        <w:rPr>
          <w:rFonts w:asciiTheme="minorHAnsi" w:hAnsiTheme="minorHAnsi"/>
          <w:color w:val="auto"/>
          <w:sz w:val="22"/>
          <w:szCs w:val="22"/>
        </w:rPr>
        <w:t>Environment and Energy.</w:t>
      </w:r>
    </w:p>
    <w:p w14:paraId="6613997E" w14:textId="52AE8E7D" w:rsidR="00C2002B" w:rsidRPr="000D3731" w:rsidRDefault="00DF2D27" w:rsidP="000D3731">
      <w:pPr>
        <w:pStyle w:val="ListParagraph"/>
        <w:numPr>
          <w:ilvl w:val="0"/>
          <w:numId w:val="2"/>
        </w:numPr>
        <w:spacing w:after="120"/>
        <w:ind w:left="426" w:hanging="426"/>
        <w:contextualSpacing w:val="0"/>
        <w:rPr>
          <w:rFonts w:asciiTheme="minorHAnsi" w:hAnsiTheme="minorHAnsi"/>
          <w:color w:val="auto"/>
          <w:sz w:val="22"/>
          <w:szCs w:val="22"/>
        </w:rPr>
      </w:pPr>
      <w:r>
        <w:rPr>
          <w:rFonts w:asciiTheme="minorHAnsi" w:hAnsiTheme="minorHAnsi"/>
          <w:color w:val="auto"/>
          <w:sz w:val="22"/>
          <w:szCs w:val="22"/>
        </w:rPr>
        <w:t>We</w:t>
      </w:r>
      <w:r w:rsidRPr="005D54E6">
        <w:rPr>
          <w:rFonts w:asciiTheme="minorHAnsi" w:hAnsiTheme="minorHAnsi"/>
          <w:color w:val="auto"/>
          <w:sz w:val="22"/>
          <w:szCs w:val="22"/>
        </w:rPr>
        <w:t xml:space="preserve"> </w:t>
      </w:r>
      <w:r w:rsidR="00160B81">
        <w:rPr>
          <w:rFonts w:asciiTheme="minorHAnsi" w:hAnsiTheme="minorHAnsi"/>
          <w:color w:val="auto"/>
          <w:sz w:val="22"/>
          <w:szCs w:val="22"/>
        </w:rPr>
        <w:t>d</w:t>
      </w:r>
      <w:r w:rsidR="00160B81" w:rsidRPr="00BB73B6">
        <w:rPr>
          <w:rFonts w:asciiTheme="minorHAnsi" w:hAnsiTheme="minorHAnsi"/>
          <w:color w:val="auto"/>
          <w:sz w:val="22"/>
          <w:szCs w:val="22"/>
        </w:rPr>
        <w:t xml:space="preserve">eveloped an internal database to capture, aggregate and analyse data reported by titleholders on Australia’s offshore petroleum reserves and contingent resources. </w:t>
      </w:r>
      <w:r>
        <w:rPr>
          <w:rFonts w:asciiTheme="minorHAnsi" w:hAnsiTheme="minorHAnsi"/>
          <w:color w:val="auto"/>
          <w:sz w:val="22"/>
          <w:szCs w:val="22"/>
        </w:rPr>
        <w:t xml:space="preserve"> </w:t>
      </w:r>
      <w:r w:rsidR="00160B81">
        <w:rPr>
          <w:rFonts w:asciiTheme="minorHAnsi" w:hAnsiTheme="minorHAnsi"/>
          <w:color w:val="auto"/>
          <w:sz w:val="22"/>
          <w:szCs w:val="22"/>
        </w:rPr>
        <w:t xml:space="preserve">This has enabled </w:t>
      </w:r>
      <w:r>
        <w:rPr>
          <w:rFonts w:asciiTheme="minorHAnsi" w:hAnsiTheme="minorHAnsi"/>
          <w:color w:val="auto"/>
          <w:sz w:val="22"/>
          <w:szCs w:val="22"/>
        </w:rPr>
        <w:t xml:space="preserve">us </w:t>
      </w:r>
      <w:r w:rsidR="00160B81">
        <w:rPr>
          <w:rFonts w:asciiTheme="minorHAnsi" w:hAnsiTheme="minorHAnsi"/>
          <w:color w:val="auto"/>
          <w:sz w:val="22"/>
          <w:szCs w:val="22"/>
        </w:rPr>
        <w:t xml:space="preserve">to provide </w:t>
      </w:r>
      <w:r w:rsidR="004C462E">
        <w:rPr>
          <w:rFonts w:asciiTheme="minorHAnsi" w:hAnsiTheme="minorHAnsi"/>
          <w:color w:val="auto"/>
          <w:sz w:val="22"/>
          <w:szCs w:val="22"/>
        </w:rPr>
        <w:t>de</w:t>
      </w:r>
      <w:r>
        <w:rPr>
          <w:rFonts w:asciiTheme="minorHAnsi" w:hAnsiTheme="minorHAnsi"/>
          <w:color w:val="auto"/>
          <w:sz w:val="22"/>
          <w:szCs w:val="22"/>
        </w:rPr>
        <w:t>-</w:t>
      </w:r>
      <w:r w:rsidR="004C462E">
        <w:rPr>
          <w:rFonts w:asciiTheme="minorHAnsi" w:hAnsiTheme="minorHAnsi"/>
          <w:color w:val="auto"/>
          <w:sz w:val="22"/>
          <w:szCs w:val="22"/>
        </w:rPr>
        <w:t xml:space="preserve">identified, </w:t>
      </w:r>
      <w:r w:rsidR="00925D25" w:rsidRPr="005D54E6">
        <w:rPr>
          <w:rFonts w:asciiTheme="minorHAnsi" w:hAnsiTheme="minorHAnsi"/>
          <w:color w:val="auto"/>
          <w:sz w:val="22"/>
          <w:szCs w:val="22"/>
        </w:rPr>
        <w:t xml:space="preserve">aggregated </w:t>
      </w:r>
      <w:r w:rsidR="00160B81">
        <w:rPr>
          <w:rFonts w:asciiTheme="minorHAnsi" w:hAnsiTheme="minorHAnsi"/>
          <w:color w:val="auto"/>
          <w:sz w:val="22"/>
          <w:szCs w:val="22"/>
        </w:rPr>
        <w:t xml:space="preserve">data </w:t>
      </w:r>
      <w:r w:rsidR="000025EE" w:rsidRPr="005D54E6">
        <w:rPr>
          <w:rFonts w:asciiTheme="minorHAnsi" w:hAnsiTheme="minorHAnsi"/>
          <w:color w:val="auto"/>
          <w:sz w:val="22"/>
          <w:szCs w:val="22"/>
        </w:rPr>
        <w:t xml:space="preserve">to Geoscience Australia </w:t>
      </w:r>
      <w:r w:rsidR="00160B81">
        <w:rPr>
          <w:rFonts w:asciiTheme="minorHAnsi" w:hAnsiTheme="minorHAnsi"/>
          <w:color w:val="auto"/>
          <w:sz w:val="22"/>
          <w:szCs w:val="22"/>
        </w:rPr>
        <w:t xml:space="preserve">for </w:t>
      </w:r>
      <w:r w:rsidR="000025EE" w:rsidRPr="005D54E6">
        <w:rPr>
          <w:rFonts w:asciiTheme="minorHAnsi" w:hAnsiTheme="minorHAnsi"/>
          <w:color w:val="auto"/>
          <w:sz w:val="22"/>
          <w:szCs w:val="22"/>
        </w:rPr>
        <w:t>publication.</w:t>
      </w:r>
      <w:r w:rsidR="000D3731">
        <w:rPr>
          <w:rFonts w:asciiTheme="minorHAnsi" w:hAnsiTheme="minorHAnsi"/>
          <w:color w:val="auto"/>
          <w:sz w:val="22"/>
          <w:szCs w:val="22"/>
        </w:rPr>
        <w:t xml:space="preserve"> </w:t>
      </w:r>
    </w:p>
    <w:p w14:paraId="2C99A677" w14:textId="763427D9" w:rsidR="00C43793" w:rsidRPr="002D6737" w:rsidRDefault="00C2002B" w:rsidP="002D6737">
      <w:pPr>
        <w:pStyle w:val="Heading1"/>
        <w:rPr>
          <w:b/>
        </w:rPr>
      </w:pPr>
      <w:r>
        <w:rPr>
          <w:strike/>
        </w:rPr>
        <w:br w:type="page"/>
      </w:r>
      <w:bookmarkStart w:id="39" w:name="_Toc468884944"/>
      <w:bookmarkStart w:id="40" w:name="_Toc497215492"/>
      <w:r w:rsidR="00C43793" w:rsidRPr="002D6737">
        <w:rPr>
          <w:b/>
        </w:rPr>
        <w:lastRenderedPageBreak/>
        <w:t>External Validation comments</w:t>
      </w:r>
      <w:bookmarkEnd w:id="39"/>
      <w:bookmarkEnd w:id="40"/>
    </w:p>
    <w:p w14:paraId="2234485A" w14:textId="373A1557" w:rsidR="00D31F86" w:rsidRDefault="00570105" w:rsidP="00570105">
      <w:r w:rsidRPr="00570105">
        <w:t xml:space="preserve">The Industry Growth Centres Advisory Committee (GCAC) is NOPTA’s independent validating body for the self-assessment against the six KPIs of the RPF. </w:t>
      </w:r>
      <w:r w:rsidR="00D31F86">
        <w:t xml:space="preserve"> </w:t>
      </w:r>
      <w:r w:rsidRPr="00570105">
        <w:t xml:space="preserve">GCAC provided unconditional support of </w:t>
      </w:r>
      <w:r w:rsidR="00381E71">
        <w:t>this</w:t>
      </w:r>
      <w:r w:rsidR="00381E71" w:rsidRPr="00570105">
        <w:t xml:space="preserve"> </w:t>
      </w:r>
      <w:r w:rsidRPr="00570105">
        <w:t xml:space="preserve">self-assessment report. </w:t>
      </w:r>
      <w:r w:rsidR="00381E71">
        <w:t xml:space="preserve"> </w:t>
      </w:r>
      <w:r w:rsidRPr="00570105">
        <w:t>Positive feedback included</w:t>
      </w:r>
      <w:r>
        <w:t xml:space="preserve">: </w:t>
      </w:r>
    </w:p>
    <w:p w14:paraId="017CD981" w14:textId="5A51A8E9" w:rsidR="00D31F86" w:rsidRPr="00D31F86" w:rsidRDefault="00D31F86" w:rsidP="00570105">
      <w:r>
        <w:rPr>
          <w:i/>
        </w:rPr>
        <w:t>“</w:t>
      </w:r>
      <w:r w:rsidR="00570105" w:rsidRPr="00D31F86">
        <w:rPr>
          <w:i/>
        </w:rPr>
        <w:t>NOPTA’s self- assessment is a positive reflection that it has implemented the RPF and met its six KPI’s. The self-assessment is comprehensive and takes into account all of the administrative functions of the Titles Administrator for the Offshore Petroleum and Greenhouse Gas Storage Act and its interaction with stakeholders.</w:t>
      </w:r>
    </w:p>
    <w:p w14:paraId="62F63E64" w14:textId="4EB90EDD" w:rsidR="00570105" w:rsidRPr="00570105" w:rsidRDefault="00570105" w:rsidP="00570105">
      <w:r w:rsidRPr="00D31F86">
        <w:rPr>
          <w:i/>
        </w:rPr>
        <w:t>NOPTA’s performance KPI’s adequately cover the administrative functions of the organisation. The link between evidence and performance measures is well documented and supports NOPTA’s focus on reducing regulatory burden, improving efficiency and open, transparent dealing with industry. Continued engagement with APPEA and industry stakeholders will benefit all. NOPTA is an effective and pragmatic administrator and the regulated entities strongly support NOPTA in its role</w:t>
      </w:r>
      <w:r w:rsidRPr="00570105">
        <w:t>.</w:t>
      </w:r>
      <w:r w:rsidR="00D31F86">
        <w:t>”</w:t>
      </w:r>
    </w:p>
    <w:p w14:paraId="62743796" w14:textId="2866A872" w:rsidR="00351ECA" w:rsidRDefault="00351ECA" w:rsidP="00351ECA">
      <w:pPr>
        <w:pStyle w:val="Heading1"/>
        <w:spacing w:after="120" w:line="240" w:lineRule="auto"/>
        <w:rPr>
          <w:b/>
        </w:rPr>
      </w:pPr>
      <w:bookmarkStart w:id="41" w:name="_Toc497215493"/>
      <w:r w:rsidRPr="00331DA7">
        <w:rPr>
          <w:b/>
        </w:rPr>
        <w:t>201</w:t>
      </w:r>
      <w:r>
        <w:rPr>
          <w:b/>
        </w:rPr>
        <w:t>7</w:t>
      </w:r>
      <w:r w:rsidR="00F3086B">
        <w:rPr>
          <w:b/>
        </w:rPr>
        <w:t>-</w:t>
      </w:r>
      <w:r w:rsidRPr="00331DA7">
        <w:rPr>
          <w:b/>
        </w:rPr>
        <w:t>1</w:t>
      </w:r>
      <w:r>
        <w:rPr>
          <w:b/>
        </w:rPr>
        <w:t>8 and beyond</w:t>
      </w:r>
      <w:bookmarkEnd w:id="41"/>
    </w:p>
    <w:p w14:paraId="23F58AD2" w14:textId="37349C63" w:rsidR="008169FF" w:rsidRDefault="00381E71" w:rsidP="00351ECA">
      <w:pPr>
        <w:spacing w:line="240" w:lineRule="auto"/>
      </w:pPr>
      <w:r>
        <w:t>Our</w:t>
      </w:r>
      <w:r w:rsidRPr="005D54E6">
        <w:t xml:space="preserve"> </w:t>
      </w:r>
      <w:r w:rsidR="00351ECA" w:rsidRPr="005D54E6">
        <w:t xml:space="preserve">forward work program will be guided by </w:t>
      </w:r>
      <w:r w:rsidR="008169FF">
        <w:t>industry activity and associated applications</w:t>
      </w:r>
      <w:r w:rsidR="008169FF" w:rsidRPr="008169FF">
        <w:t xml:space="preserve"> </w:t>
      </w:r>
      <w:r w:rsidR="008169FF" w:rsidRPr="005D54E6">
        <w:t xml:space="preserve">and any new policy initiatives. </w:t>
      </w:r>
      <w:r>
        <w:t xml:space="preserve"> </w:t>
      </w:r>
      <w:r w:rsidR="008169FF">
        <w:t xml:space="preserve">It will also include </w:t>
      </w:r>
      <w:r w:rsidR="00351ECA" w:rsidRPr="005D54E6">
        <w:t xml:space="preserve">prioritisation of the high level requirements of </w:t>
      </w:r>
      <w:r w:rsidR="00351ECA" w:rsidRPr="005D54E6">
        <w:rPr>
          <w:i/>
        </w:rPr>
        <w:t>NEATS</w:t>
      </w:r>
      <w:r w:rsidR="00D31F86">
        <w:rPr>
          <w:i/>
        </w:rPr>
        <w:t> </w:t>
      </w:r>
      <w:r w:rsidR="00351ECA" w:rsidRPr="005D54E6">
        <w:rPr>
          <w:i/>
        </w:rPr>
        <w:t>2020</w:t>
      </w:r>
      <w:r w:rsidR="008169FF">
        <w:t xml:space="preserve"> and</w:t>
      </w:r>
      <w:r w:rsidR="00351ECA" w:rsidRPr="005D54E6">
        <w:t xml:space="preserve"> implementing the NOPTA Information, Communications and Technology (ICT) Strategy 2017</w:t>
      </w:r>
      <w:r w:rsidR="008169FF">
        <w:noBreakHyphen/>
      </w:r>
      <w:r w:rsidR="00351ECA" w:rsidRPr="005D54E6">
        <w:t>19</w:t>
      </w:r>
      <w:r w:rsidR="008169FF">
        <w:t>.</w:t>
      </w:r>
    </w:p>
    <w:p w14:paraId="1C8D33CA" w14:textId="5B792F9D" w:rsidR="008169FF" w:rsidRDefault="00381E71" w:rsidP="00351ECA">
      <w:pPr>
        <w:spacing w:line="240" w:lineRule="auto"/>
      </w:pPr>
      <w:r>
        <w:t xml:space="preserve">We </w:t>
      </w:r>
      <w:r w:rsidR="008169FF">
        <w:t xml:space="preserve">will continue to work with the </w:t>
      </w:r>
      <w:r w:rsidR="00612CD9">
        <w:t xml:space="preserve">department’s </w:t>
      </w:r>
      <w:r w:rsidR="008169FF">
        <w:t>Offshore Resources Branch to update and develop guidance material for industry.</w:t>
      </w:r>
      <w:r w:rsidR="005C3AF6">
        <w:t xml:space="preserve"> </w:t>
      </w:r>
      <w:r>
        <w:t xml:space="preserve"> This will include reviewing the data management provisions in</w:t>
      </w:r>
      <w:r w:rsidR="005C3AF6">
        <w:t xml:space="preserve"> 2017-</w:t>
      </w:r>
      <w:r>
        <w:t>18, which</w:t>
      </w:r>
      <w:r w:rsidR="005C3AF6">
        <w:t xml:space="preserve"> regulate the submission and release of data.</w:t>
      </w:r>
      <w:r w:rsidR="00351ECA" w:rsidRPr="005D54E6">
        <w:t xml:space="preserve"> </w:t>
      </w:r>
      <w:r w:rsidR="002639C7">
        <w:t xml:space="preserve"> </w:t>
      </w:r>
    </w:p>
    <w:p w14:paraId="35E8417A" w14:textId="2BB71F33" w:rsidR="00CD3655" w:rsidRPr="00946AF2" w:rsidRDefault="00CD3655" w:rsidP="00351ECA">
      <w:pPr>
        <w:spacing w:line="240" w:lineRule="auto"/>
      </w:pPr>
      <w:r w:rsidRPr="00C573F4">
        <w:t xml:space="preserve">During 2018 </w:t>
      </w:r>
      <w:r w:rsidR="00381E71">
        <w:t>we</w:t>
      </w:r>
      <w:r w:rsidR="00381E71" w:rsidRPr="00C573F4">
        <w:t xml:space="preserve"> </w:t>
      </w:r>
      <w:r w:rsidRPr="00C573F4">
        <w:t xml:space="preserve">will </w:t>
      </w:r>
      <w:r w:rsidR="00381E71">
        <w:t xml:space="preserve">continue to </w:t>
      </w:r>
      <w:r w:rsidRPr="00C573F4">
        <w:t xml:space="preserve">collaborate with </w:t>
      </w:r>
      <w:r w:rsidR="00381E71">
        <w:rPr>
          <w:rFonts w:cs="Arial"/>
          <w:color w:val="000000" w:themeColor="text1"/>
        </w:rPr>
        <w:t>Geoscience Australia</w:t>
      </w:r>
      <w:r w:rsidR="00381E71" w:rsidRPr="00C573F4" w:rsidDel="00381E71">
        <w:t xml:space="preserve"> </w:t>
      </w:r>
      <w:r w:rsidRPr="00C573F4">
        <w:t xml:space="preserve">on </w:t>
      </w:r>
      <w:r w:rsidR="00381E71">
        <w:t xml:space="preserve">the </w:t>
      </w:r>
      <w:r w:rsidRPr="00C573F4">
        <w:t>development of the National Offshore Petrole</w:t>
      </w:r>
      <w:r w:rsidR="00A63BF8" w:rsidRPr="00C573F4">
        <w:t>um</w:t>
      </w:r>
      <w:r w:rsidRPr="00C573F4">
        <w:t xml:space="preserve"> Information </w:t>
      </w:r>
      <w:r w:rsidR="00A63BF8" w:rsidRPr="00C573F4">
        <w:t>M</w:t>
      </w:r>
      <w:r w:rsidRPr="00C573F4">
        <w:t>anagement Syste</w:t>
      </w:r>
      <w:r w:rsidR="00A63BF8" w:rsidRPr="00C573F4">
        <w:t>m (NOPIMS)</w:t>
      </w:r>
      <w:r w:rsidRPr="00C573F4">
        <w:t xml:space="preserve">. </w:t>
      </w:r>
      <w:r w:rsidR="00381E71">
        <w:t xml:space="preserve"> </w:t>
      </w:r>
      <w:r w:rsidRPr="00C573F4">
        <w:t>NOPIMS has significantly improved the volume and compreh</w:t>
      </w:r>
      <w:r w:rsidR="00A63BF8" w:rsidRPr="00C573F4">
        <w:t>e</w:t>
      </w:r>
      <w:r w:rsidRPr="00C573F4">
        <w:t>nsivenes</w:t>
      </w:r>
      <w:r w:rsidR="00A63BF8" w:rsidRPr="00C573F4">
        <w:t>s of exploration data available to industry</w:t>
      </w:r>
      <w:r w:rsidRPr="00C573F4">
        <w:t xml:space="preserve">. </w:t>
      </w:r>
      <w:r w:rsidR="00381E71">
        <w:t xml:space="preserve"> </w:t>
      </w:r>
      <w:r w:rsidRPr="00C573F4">
        <w:t xml:space="preserve">During </w:t>
      </w:r>
      <w:r w:rsidR="00FA5A0F">
        <w:t>2017-18</w:t>
      </w:r>
      <w:r w:rsidRPr="00C573F4">
        <w:t xml:space="preserve"> </w:t>
      </w:r>
      <w:r w:rsidR="00A63BF8" w:rsidRPr="00C573F4">
        <w:t xml:space="preserve">NOPIMS development will </w:t>
      </w:r>
      <w:r w:rsidR="00381E71">
        <w:t xml:space="preserve">include </w:t>
      </w:r>
      <w:r w:rsidR="00A63BF8" w:rsidRPr="00C573F4">
        <w:t xml:space="preserve">the management of confidential data, providing NOPTA with the ability to </w:t>
      </w:r>
      <w:r w:rsidR="005C3AF6">
        <w:t>streamline</w:t>
      </w:r>
      <w:r w:rsidR="005C3AF6" w:rsidRPr="00C573F4">
        <w:t xml:space="preserve"> </w:t>
      </w:r>
      <w:r w:rsidR="00A63BF8" w:rsidRPr="00C573F4">
        <w:t>data submission and release</w:t>
      </w:r>
      <w:r w:rsidR="005C3AF6">
        <w:t>.</w:t>
      </w:r>
      <w:r w:rsidR="00A63BF8" w:rsidRPr="00C573F4">
        <w:t xml:space="preserve"> </w:t>
      </w:r>
      <w:r w:rsidR="00381E71">
        <w:t xml:space="preserve"> </w:t>
      </w:r>
      <w:r w:rsidR="00A63BF8" w:rsidRPr="00C573F4">
        <w:t xml:space="preserve">This will improve provision of compliance-related information to stakeholders and contribute to further reduction of regulatory burden. </w:t>
      </w:r>
    </w:p>
    <w:p w14:paraId="3AC32DE5" w14:textId="5B3B8828" w:rsidR="00283AB0" w:rsidRPr="000D3731" w:rsidRDefault="00381E71" w:rsidP="000D3731">
      <w:pPr>
        <w:pStyle w:val="BodyText"/>
        <w:tabs>
          <w:tab w:val="left" w:pos="1380"/>
          <w:tab w:val="left" w:pos="6521"/>
        </w:tabs>
        <w:spacing w:before="0" w:after="120"/>
        <w:ind w:left="0"/>
        <w:rPr>
          <w:rFonts w:asciiTheme="minorHAnsi" w:hAnsiTheme="minorHAnsi"/>
          <w:color w:val="000000" w:themeColor="text1"/>
          <w:spacing w:val="-1"/>
          <w:sz w:val="22"/>
          <w:szCs w:val="22"/>
        </w:rPr>
      </w:pPr>
      <w:r>
        <w:rPr>
          <w:rFonts w:asciiTheme="minorHAnsi" w:hAnsiTheme="minorHAnsi" w:cs="Arial"/>
          <w:color w:val="000000" w:themeColor="text1"/>
          <w:sz w:val="22"/>
          <w:szCs w:val="22"/>
        </w:rPr>
        <w:t xml:space="preserve">We </w:t>
      </w:r>
      <w:r w:rsidR="001930DF">
        <w:rPr>
          <w:rFonts w:asciiTheme="minorHAnsi" w:hAnsiTheme="minorHAnsi" w:cs="Arial"/>
          <w:color w:val="000000" w:themeColor="text1"/>
          <w:sz w:val="22"/>
          <w:szCs w:val="22"/>
        </w:rPr>
        <w:t xml:space="preserve">will continue to strengthen </w:t>
      </w:r>
      <w:r>
        <w:rPr>
          <w:rFonts w:asciiTheme="minorHAnsi" w:hAnsiTheme="minorHAnsi" w:cs="Arial"/>
          <w:color w:val="000000" w:themeColor="text1"/>
          <w:sz w:val="22"/>
          <w:szCs w:val="22"/>
        </w:rPr>
        <w:t xml:space="preserve">our </w:t>
      </w:r>
      <w:r w:rsidR="001930DF">
        <w:rPr>
          <w:rFonts w:asciiTheme="minorHAnsi" w:hAnsiTheme="minorHAnsi" w:cs="Arial"/>
          <w:color w:val="000000" w:themeColor="text1"/>
          <w:sz w:val="22"/>
          <w:szCs w:val="22"/>
        </w:rPr>
        <w:t xml:space="preserve">relationships with </w:t>
      </w:r>
      <w:r w:rsidR="005362FF">
        <w:rPr>
          <w:rFonts w:asciiTheme="minorHAnsi" w:hAnsiTheme="minorHAnsi" w:cs="Arial"/>
          <w:color w:val="000000" w:themeColor="text1"/>
          <w:sz w:val="22"/>
          <w:szCs w:val="22"/>
        </w:rPr>
        <w:t xml:space="preserve">key stakeholders, including NOPSEMA, the department’s Offshore Resources Branch, </w:t>
      </w:r>
      <w:proofErr w:type="gramStart"/>
      <w:r w:rsidR="005362FF">
        <w:rPr>
          <w:rFonts w:asciiTheme="minorHAnsi" w:hAnsiTheme="minorHAnsi" w:cs="Arial"/>
          <w:color w:val="000000" w:themeColor="text1"/>
          <w:sz w:val="22"/>
          <w:szCs w:val="22"/>
        </w:rPr>
        <w:t>delegates</w:t>
      </w:r>
      <w:proofErr w:type="gramEnd"/>
      <w:r w:rsidR="005362FF">
        <w:rPr>
          <w:rFonts w:asciiTheme="minorHAnsi" w:hAnsiTheme="minorHAnsi" w:cs="Arial"/>
          <w:color w:val="000000" w:themeColor="text1"/>
          <w:sz w:val="22"/>
          <w:szCs w:val="22"/>
        </w:rPr>
        <w:t xml:space="preserve"> of the Joint Authorit</w:t>
      </w:r>
      <w:r w:rsidR="0063270A">
        <w:rPr>
          <w:rFonts w:asciiTheme="minorHAnsi" w:hAnsiTheme="minorHAnsi" w:cs="Arial"/>
          <w:color w:val="000000" w:themeColor="text1"/>
          <w:sz w:val="22"/>
          <w:szCs w:val="22"/>
        </w:rPr>
        <w:t>ies</w:t>
      </w:r>
      <w:r w:rsidR="005362FF">
        <w:rPr>
          <w:rFonts w:asciiTheme="minorHAnsi" w:hAnsiTheme="minorHAnsi" w:cs="Arial"/>
          <w:color w:val="000000" w:themeColor="text1"/>
          <w:sz w:val="22"/>
          <w:szCs w:val="22"/>
        </w:rPr>
        <w:t>, Geoscience Australia</w:t>
      </w:r>
      <w:r w:rsidR="00D659FF">
        <w:rPr>
          <w:rFonts w:asciiTheme="minorHAnsi" w:hAnsiTheme="minorHAnsi" w:cs="Arial"/>
          <w:color w:val="000000" w:themeColor="text1"/>
          <w:sz w:val="22"/>
          <w:szCs w:val="22"/>
        </w:rPr>
        <w:t>, APPEA</w:t>
      </w:r>
      <w:r w:rsidR="005362FF">
        <w:rPr>
          <w:rFonts w:asciiTheme="minorHAnsi" w:hAnsiTheme="minorHAnsi" w:cs="Arial"/>
          <w:color w:val="000000" w:themeColor="text1"/>
          <w:sz w:val="22"/>
          <w:szCs w:val="22"/>
        </w:rPr>
        <w:t xml:space="preserve"> and industry</w:t>
      </w:r>
      <w:r w:rsidR="005362FF" w:rsidRPr="006D065B">
        <w:rPr>
          <w:rFonts w:asciiTheme="minorHAnsi" w:hAnsiTheme="minorHAnsi" w:cs="Arial"/>
          <w:color w:val="000000" w:themeColor="text1"/>
          <w:sz w:val="22"/>
          <w:szCs w:val="22"/>
        </w:rPr>
        <w:t>.</w:t>
      </w:r>
    </w:p>
    <w:sectPr w:rsidR="00283AB0" w:rsidRPr="000D3731" w:rsidSect="0039519C">
      <w:headerReference w:type="even" r:id="rId18"/>
      <w:headerReference w:type="default" r:id="rId19"/>
      <w:footerReference w:type="default" r:id="rId20"/>
      <w:headerReference w:type="first" r:id="rId21"/>
      <w:pgSz w:w="11906" w:h="16838"/>
      <w:pgMar w:top="851"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33BCD" w14:textId="77777777" w:rsidR="00225A51" w:rsidRDefault="00225A51" w:rsidP="00351ECA">
      <w:pPr>
        <w:spacing w:after="0" w:line="240" w:lineRule="auto"/>
      </w:pPr>
      <w:r>
        <w:separator/>
      </w:r>
    </w:p>
  </w:endnote>
  <w:endnote w:type="continuationSeparator" w:id="0">
    <w:p w14:paraId="68A36E1E" w14:textId="77777777" w:rsidR="00225A51" w:rsidRDefault="00225A51" w:rsidP="003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Pro">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5A21" w14:textId="77777777" w:rsidR="00D74876" w:rsidRDefault="00D74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98098" w14:textId="77777777" w:rsidR="00225A51" w:rsidRDefault="00225A51">
    <w:pPr>
      <w:pStyle w:val="Footer"/>
      <w:jc w:val="right"/>
    </w:pPr>
  </w:p>
  <w:p w14:paraId="66D73882" w14:textId="77777777" w:rsidR="00225A51" w:rsidRDefault="00225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D31F" w14:textId="77777777" w:rsidR="00D74876" w:rsidRDefault="00D748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267369"/>
      <w:docPartObj>
        <w:docPartGallery w:val="Page Numbers (Bottom of Page)"/>
        <w:docPartUnique/>
      </w:docPartObj>
    </w:sdtPr>
    <w:sdtEndPr>
      <w:rPr>
        <w:sz w:val="20"/>
        <w:szCs w:val="20"/>
      </w:rPr>
    </w:sdtEndPr>
    <w:sdtContent>
      <w:sdt>
        <w:sdtPr>
          <w:rPr>
            <w:sz w:val="20"/>
            <w:szCs w:val="20"/>
          </w:rPr>
          <w:id w:val="2087033670"/>
          <w:docPartObj>
            <w:docPartGallery w:val="Page Numbers (Top of Page)"/>
            <w:docPartUnique/>
          </w:docPartObj>
        </w:sdtPr>
        <w:sdtEndPr/>
        <w:sdtContent>
          <w:p w14:paraId="2FF211D5" w14:textId="0FAC57D8" w:rsidR="00225A51" w:rsidRPr="00976E14" w:rsidRDefault="00225A51">
            <w:pPr>
              <w:pStyle w:val="Footer"/>
              <w:jc w:val="center"/>
              <w:rPr>
                <w:sz w:val="20"/>
                <w:szCs w:val="20"/>
              </w:rPr>
            </w:pPr>
            <w:r w:rsidRPr="00976E14">
              <w:rPr>
                <w:sz w:val="20"/>
                <w:szCs w:val="20"/>
              </w:rPr>
              <w:t xml:space="preserve">Page </w:t>
            </w:r>
            <w:r w:rsidRPr="00976E14">
              <w:rPr>
                <w:b/>
                <w:bCs/>
                <w:sz w:val="20"/>
                <w:szCs w:val="20"/>
              </w:rPr>
              <w:fldChar w:fldCharType="begin"/>
            </w:r>
            <w:r w:rsidRPr="00976E14">
              <w:rPr>
                <w:b/>
                <w:bCs/>
                <w:sz w:val="20"/>
                <w:szCs w:val="20"/>
              </w:rPr>
              <w:instrText xml:space="preserve"> PAGE </w:instrText>
            </w:r>
            <w:r w:rsidRPr="00976E14">
              <w:rPr>
                <w:b/>
                <w:bCs/>
                <w:sz w:val="20"/>
                <w:szCs w:val="20"/>
              </w:rPr>
              <w:fldChar w:fldCharType="separate"/>
            </w:r>
            <w:r w:rsidR="003C52A9">
              <w:rPr>
                <w:b/>
                <w:bCs/>
                <w:noProof/>
                <w:sz w:val="20"/>
                <w:szCs w:val="20"/>
              </w:rPr>
              <w:t>10</w:t>
            </w:r>
            <w:r w:rsidRPr="00976E14">
              <w:rPr>
                <w:b/>
                <w:bCs/>
                <w:sz w:val="20"/>
                <w:szCs w:val="20"/>
              </w:rPr>
              <w:fldChar w:fldCharType="end"/>
            </w:r>
            <w:r w:rsidRPr="00976E14">
              <w:rPr>
                <w:sz w:val="20"/>
                <w:szCs w:val="20"/>
              </w:rPr>
              <w:t xml:space="preserve"> of </w:t>
            </w:r>
            <w:r>
              <w:rPr>
                <w:b/>
                <w:bCs/>
                <w:sz w:val="20"/>
                <w:szCs w:val="20"/>
              </w:rPr>
              <w:t>10</w:t>
            </w:r>
          </w:p>
        </w:sdtContent>
      </w:sdt>
    </w:sdtContent>
  </w:sdt>
  <w:p w14:paraId="6173F191" w14:textId="77777777" w:rsidR="00225A51" w:rsidRDefault="00225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04AA1" w14:textId="77777777" w:rsidR="00225A51" w:rsidRDefault="00225A51" w:rsidP="00351ECA">
      <w:pPr>
        <w:spacing w:after="0" w:line="240" w:lineRule="auto"/>
      </w:pPr>
      <w:r>
        <w:separator/>
      </w:r>
    </w:p>
  </w:footnote>
  <w:footnote w:type="continuationSeparator" w:id="0">
    <w:p w14:paraId="6A195B5F" w14:textId="77777777" w:rsidR="00225A51" w:rsidRDefault="00225A51" w:rsidP="00351ECA">
      <w:pPr>
        <w:spacing w:after="0" w:line="240" w:lineRule="auto"/>
      </w:pPr>
      <w:r>
        <w:continuationSeparator/>
      </w:r>
    </w:p>
  </w:footnote>
  <w:footnote w:id="1">
    <w:p w14:paraId="3A4A39DF" w14:textId="489DDE7F" w:rsidR="00225A51" w:rsidRDefault="00225A51" w:rsidP="00351ECA">
      <w:pPr>
        <w:pStyle w:val="FootnoteText"/>
      </w:pPr>
      <w:r>
        <w:rPr>
          <w:rStyle w:val="FootnoteReference"/>
        </w:rPr>
        <w:footnoteRef/>
      </w:r>
      <w:r>
        <w:t xml:space="preserve"> </w:t>
      </w:r>
      <w:hyperlink r:id="rId1" w:tooltip="NOPTA website: Stakholder Survey" w:history="1">
        <w:r w:rsidRPr="00852951">
          <w:rPr>
            <w:rStyle w:val="Hyperlink"/>
          </w:rPr>
          <w:t>http://www.nopta.gov.au/media/stakeholder-survey/index.html</w:t>
        </w:r>
      </w:hyperlink>
      <w:r>
        <w:t xml:space="preserve"> </w:t>
      </w:r>
    </w:p>
  </w:footnote>
  <w:footnote w:id="2">
    <w:p w14:paraId="4C9B0025" w14:textId="3E3C2571" w:rsidR="00225A51" w:rsidRPr="0055095D" w:rsidRDefault="00225A51" w:rsidP="00351ECA">
      <w:pPr>
        <w:pStyle w:val="FootnoteText"/>
        <w:rPr>
          <w:sz w:val="18"/>
          <w:szCs w:val="18"/>
        </w:rPr>
      </w:pPr>
      <w:r w:rsidRPr="0055095D">
        <w:rPr>
          <w:rStyle w:val="FootnoteReference"/>
          <w:sz w:val="18"/>
          <w:szCs w:val="18"/>
        </w:rPr>
        <w:footnoteRef/>
      </w:r>
      <w:hyperlink r:id="rId2" w:tooltip="Department of Industry, Innovation and Science website: Offshore Petroleum Regulatory Regime" w:history="1">
        <w:r w:rsidRPr="00C94169">
          <w:rPr>
            <w:rStyle w:val="Hyperlink"/>
          </w:rPr>
          <w:t>http://industry.gov.au/resource/UpstreamPetroleum/OffshorePetroleumRegulatoryRegime/Pages/default.aspx</w:t>
        </w:r>
      </w:hyperlink>
      <w:r w:rsidRPr="0055095D">
        <w:rPr>
          <w:sz w:val="18"/>
          <w:szCs w:val="18"/>
        </w:rPr>
        <w:t xml:space="preserve"> </w:t>
      </w:r>
    </w:p>
  </w:footnote>
  <w:footnote w:id="3">
    <w:p w14:paraId="71616700" w14:textId="77777777" w:rsidR="00225A51" w:rsidRPr="0055095D" w:rsidRDefault="00225A51" w:rsidP="00351ECA">
      <w:pPr>
        <w:spacing w:after="0" w:line="240" w:lineRule="auto"/>
        <w:rPr>
          <w:sz w:val="18"/>
          <w:szCs w:val="18"/>
          <w:lang w:val="en"/>
        </w:rPr>
      </w:pPr>
      <w:r w:rsidRPr="0055095D">
        <w:rPr>
          <w:rStyle w:val="FootnoteReference"/>
          <w:sz w:val="18"/>
          <w:szCs w:val="18"/>
        </w:rPr>
        <w:footnoteRef/>
      </w:r>
      <w:r w:rsidRPr="0055095D">
        <w:rPr>
          <w:sz w:val="18"/>
          <w:szCs w:val="18"/>
        </w:rPr>
        <w:t xml:space="preserve"> </w:t>
      </w:r>
      <w:r w:rsidRPr="00C02989">
        <w:rPr>
          <w:sz w:val="20"/>
          <w:szCs w:val="20"/>
          <w:lang w:val="en"/>
        </w:rPr>
        <w:t>T</w:t>
      </w:r>
      <w:r w:rsidRPr="00C02989">
        <w:rPr>
          <w:sz w:val="20"/>
          <w:szCs w:val="20"/>
        </w:rPr>
        <w:t xml:space="preserve">he </w:t>
      </w:r>
      <w:r w:rsidRPr="001930DF">
        <w:rPr>
          <w:i/>
          <w:sz w:val="20"/>
          <w:szCs w:val="20"/>
        </w:rPr>
        <w:t>Offshore Petroleum and Greenhouse Gas Storage Amendment (National Regulator) Bill 2011</w:t>
      </w:r>
      <w:r w:rsidRPr="00C02989">
        <w:rPr>
          <w:sz w:val="20"/>
          <w:szCs w:val="20"/>
        </w:rPr>
        <w:t xml:space="preserve"> amended the OPGGS Act to establish NOPTA and expand the former National Offshore Petroleum Safety Authority to become the NOPSEMA.</w:t>
      </w:r>
    </w:p>
  </w:footnote>
  <w:footnote w:id="4">
    <w:p w14:paraId="40B969DB" w14:textId="54BFC814" w:rsidR="00225A51" w:rsidRDefault="00225A51" w:rsidP="00351ECA">
      <w:pPr>
        <w:pStyle w:val="FootnoteText"/>
      </w:pPr>
      <w:r>
        <w:rPr>
          <w:rStyle w:val="FootnoteReference"/>
        </w:rPr>
        <w:footnoteRef/>
      </w:r>
      <w:r>
        <w:t xml:space="preserve"> As </w:t>
      </w:r>
      <w:r w:rsidR="00566BCB">
        <w:t>at note 1</w:t>
      </w:r>
      <w:r>
        <w:t>.</w:t>
      </w:r>
    </w:p>
  </w:footnote>
  <w:footnote w:id="5">
    <w:p w14:paraId="74868758" w14:textId="77777777" w:rsidR="00225A51" w:rsidRDefault="00225A51" w:rsidP="00351ECA">
      <w:pPr>
        <w:pStyle w:val="FootnoteText"/>
      </w:pPr>
      <w:r>
        <w:rPr>
          <w:rStyle w:val="FootnoteReference"/>
        </w:rPr>
        <w:footnoteRef/>
      </w:r>
      <w:r>
        <w:t xml:space="preserve"> 55 to 65 per cent of non-government respondents.</w:t>
      </w:r>
    </w:p>
  </w:footnote>
  <w:footnote w:id="6">
    <w:p w14:paraId="5FC54FEF" w14:textId="77777777" w:rsidR="00225A51" w:rsidRDefault="00225A51" w:rsidP="00351ECA">
      <w:pPr>
        <w:pStyle w:val="FootnoteText"/>
      </w:pPr>
      <w:r>
        <w:rPr>
          <w:rStyle w:val="FootnoteReference"/>
        </w:rPr>
        <w:footnoteRef/>
      </w:r>
      <w:r>
        <w:t xml:space="preserve"> </w:t>
      </w:r>
      <w:r w:rsidRPr="00C2002B">
        <w:t>41 per cent ‘to a great extent’ and 57 per cent ‘to some extent’.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9AD4" w14:textId="77777777" w:rsidR="00D74876" w:rsidRDefault="00D74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5075" w14:textId="77777777" w:rsidR="00D74876" w:rsidRDefault="00D748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3CC9" w14:textId="77777777" w:rsidR="00D74876" w:rsidRDefault="00D748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E0C6E" w14:textId="421DB9F5" w:rsidR="00225A51" w:rsidRDefault="00225A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A770" w14:textId="0973C7DF" w:rsidR="00225A51" w:rsidRDefault="00225A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61CF" w14:textId="574661AB" w:rsidR="00225A51" w:rsidRDefault="00225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03B3A"/>
    <w:multiLevelType w:val="hybridMultilevel"/>
    <w:tmpl w:val="4F62BECE"/>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 w15:restartNumberingAfterBreak="0">
    <w:nsid w:val="13490236"/>
    <w:multiLevelType w:val="hybridMultilevel"/>
    <w:tmpl w:val="D89EBF3A"/>
    <w:lvl w:ilvl="0" w:tplc="83FA728C">
      <w:start w:val="1"/>
      <w:numFmt w:val="bullet"/>
      <w:pStyle w:val="Bullet"/>
      <w:lvlText w:val="•"/>
      <w:lvlJc w:val="left"/>
      <w:pPr>
        <w:tabs>
          <w:tab w:val="num" w:pos="360"/>
        </w:tabs>
        <w:ind w:left="360" w:hanging="360"/>
      </w:pPr>
      <w:rPr>
        <w:rFonts w:ascii="Verdana" w:hAnsi="Verdana"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C5AF7"/>
    <w:multiLevelType w:val="hybridMultilevel"/>
    <w:tmpl w:val="71009E4E"/>
    <w:lvl w:ilvl="0" w:tplc="62B2B100">
      <w:start w:val="1"/>
      <w:numFmt w:val="bullet"/>
      <w:lvlText w:val=""/>
      <w:lvlJc w:val="left"/>
      <w:pPr>
        <w:ind w:left="720" w:hanging="360"/>
      </w:pPr>
      <w:rPr>
        <w:rFonts w:ascii="Symbol" w:hAnsi="Symbol" w:hint="default"/>
        <w:sz w:val="22"/>
        <w:szCs w:val="22"/>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36DC5"/>
    <w:multiLevelType w:val="hybridMultilevel"/>
    <w:tmpl w:val="6BE00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75370"/>
    <w:multiLevelType w:val="hybridMultilevel"/>
    <w:tmpl w:val="4920B5F6"/>
    <w:lvl w:ilvl="0" w:tplc="FDB245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E0161B"/>
    <w:multiLevelType w:val="hybridMultilevel"/>
    <w:tmpl w:val="C0E6D4B0"/>
    <w:lvl w:ilvl="0" w:tplc="1E5622AC">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D332BE"/>
    <w:multiLevelType w:val="hybridMultilevel"/>
    <w:tmpl w:val="C43C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AA2BA9"/>
    <w:multiLevelType w:val="hybridMultilevel"/>
    <w:tmpl w:val="5CA0B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B3252B"/>
    <w:multiLevelType w:val="hybridMultilevel"/>
    <w:tmpl w:val="D570B94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C6638B"/>
    <w:multiLevelType w:val="hybridMultilevel"/>
    <w:tmpl w:val="22D4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FA7059"/>
    <w:multiLevelType w:val="multilevel"/>
    <w:tmpl w:val="B5B6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3"/>
  </w:num>
  <w:num w:numId="5">
    <w:abstractNumId w:val="4"/>
  </w:num>
  <w:num w:numId="6">
    <w:abstractNumId w:val="5"/>
  </w:num>
  <w:num w:numId="7">
    <w:abstractNumId w:val="6"/>
  </w:num>
  <w:num w:numId="8">
    <w:abstractNumId w:val="9"/>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CA"/>
    <w:rsid w:val="000025EE"/>
    <w:rsid w:val="00013023"/>
    <w:rsid w:val="00022F69"/>
    <w:rsid w:val="00036088"/>
    <w:rsid w:val="00066E12"/>
    <w:rsid w:val="000939DE"/>
    <w:rsid w:val="000D3731"/>
    <w:rsid w:val="000F037F"/>
    <w:rsid w:val="00136686"/>
    <w:rsid w:val="00160B81"/>
    <w:rsid w:val="00172533"/>
    <w:rsid w:val="001810C4"/>
    <w:rsid w:val="00192D54"/>
    <w:rsid w:val="001930DF"/>
    <w:rsid w:val="00197E1B"/>
    <w:rsid w:val="001A4119"/>
    <w:rsid w:val="001C2006"/>
    <w:rsid w:val="001E331D"/>
    <w:rsid w:val="001F2C7F"/>
    <w:rsid w:val="002205A9"/>
    <w:rsid w:val="00224317"/>
    <w:rsid w:val="00225A51"/>
    <w:rsid w:val="00227F40"/>
    <w:rsid w:val="002363D2"/>
    <w:rsid w:val="002639C7"/>
    <w:rsid w:val="002755D3"/>
    <w:rsid w:val="00283AB0"/>
    <w:rsid w:val="00295D8A"/>
    <w:rsid w:val="002C170F"/>
    <w:rsid w:val="002D672E"/>
    <w:rsid w:val="002D6737"/>
    <w:rsid w:val="002D6BA1"/>
    <w:rsid w:val="002F1ACD"/>
    <w:rsid w:val="003126CB"/>
    <w:rsid w:val="00320817"/>
    <w:rsid w:val="003344CB"/>
    <w:rsid w:val="00351ECA"/>
    <w:rsid w:val="00381E71"/>
    <w:rsid w:val="0039519C"/>
    <w:rsid w:val="003A4AAB"/>
    <w:rsid w:val="003C52A9"/>
    <w:rsid w:val="00424444"/>
    <w:rsid w:val="004300B9"/>
    <w:rsid w:val="004324F7"/>
    <w:rsid w:val="00463304"/>
    <w:rsid w:val="004736D6"/>
    <w:rsid w:val="004739D6"/>
    <w:rsid w:val="00487F2B"/>
    <w:rsid w:val="004A7EE0"/>
    <w:rsid w:val="004C462E"/>
    <w:rsid w:val="004C7146"/>
    <w:rsid w:val="005017EB"/>
    <w:rsid w:val="00525C9D"/>
    <w:rsid w:val="00526B97"/>
    <w:rsid w:val="005362FF"/>
    <w:rsid w:val="00566BCB"/>
    <w:rsid w:val="00570105"/>
    <w:rsid w:val="00583227"/>
    <w:rsid w:val="00597822"/>
    <w:rsid w:val="005B2509"/>
    <w:rsid w:val="005B4397"/>
    <w:rsid w:val="005C3AF6"/>
    <w:rsid w:val="005D54E6"/>
    <w:rsid w:val="00612CD9"/>
    <w:rsid w:val="0063270A"/>
    <w:rsid w:val="0064584A"/>
    <w:rsid w:val="00654C58"/>
    <w:rsid w:val="00667DA2"/>
    <w:rsid w:val="00672577"/>
    <w:rsid w:val="006820D7"/>
    <w:rsid w:val="006E0DF6"/>
    <w:rsid w:val="006E7C2D"/>
    <w:rsid w:val="006F18CB"/>
    <w:rsid w:val="007036FF"/>
    <w:rsid w:val="00704820"/>
    <w:rsid w:val="00721CBA"/>
    <w:rsid w:val="00782F21"/>
    <w:rsid w:val="007A2C1C"/>
    <w:rsid w:val="007F7333"/>
    <w:rsid w:val="008169FF"/>
    <w:rsid w:val="00817298"/>
    <w:rsid w:val="00825FB6"/>
    <w:rsid w:val="0084066F"/>
    <w:rsid w:val="008818CF"/>
    <w:rsid w:val="008B0931"/>
    <w:rsid w:val="008C5D41"/>
    <w:rsid w:val="009050A0"/>
    <w:rsid w:val="009075DB"/>
    <w:rsid w:val="00925D25"/>
    <w:rsid w:val="00946AF2"/>
    <w:rsid w:val="009527C2"/>
    <w:rsid w:val="00976E14"/>
    <w:rsid w:val="00995A4D"/>
    <w:rsid w:val="009A6428"/>
    <w:rsid w:val="00A557DA"/>
    <w:rsid w:val="00A63BF8"/>
    <w:rsid w:val="00A74B02"/>
    <w:rsid w:val="00A77DE1"/>
    <w:rsid w:val="00A838D9"/>
    <w:rsid w:val="00A95FE0"/>
    <w:rsid w:val="00AC05C2"/>
    <w:rsid w:val="00AF5390"/>
    <w:rsid w:val="00B11EED"/>
    <w:rsid w:val="00B17BB8"/>
    <w:rsid w:val="00B33776"/>
    <w:rsid w:val="00B477A4"/>
    <w:rsid w:val="00B91C83"/>
    <w:rsid w:val="00BB561D"/>
    <w:rsid w:val="00BB73B6"/>
    <w:rsid w:val="00BC2B8D"/>
    <w:rsid w:val="00BE0DE8"/>
    <w:rsid w:val="00C2002B"/>
    <w:rsid w:val="00C43793"/>
    <w:rsid w:val="00C573F4"/>
    <w:rsid w:val="00C71333"/>
    <w:rsid w:val="00C84B81"/>
    <w:rsid w:val="00C92ED0"/>
    <w:rsid w:val="00CA0EA9"/>
    <w:rsid w:val="00CB2C2D"/>
    <w:rsid w:val="00CD3655"/>
    <w:rsid w:val="00D040EA"/>
    <w:rsid w:val="00D057CB"/>
    <w:rsid w:val="00D162BB"/>
    <w:rsid w:val="00D20A7F"/>
    <w:rsid w:val="00D21BA4"/>
    <w:rsid w:val="00D31F86"/>
    <w:rsid w:val="00D33E86"/>
    <w:rsid w:val="00D55A83"/>
    <w:rsid w:val="00D659FF"/>
    <w:rsid w:val="00D74876"/>
    <w:rsid w:val="00D77136"/>
    <w:rsid w:val="00D831E2"/>
    <w:rsid w:val="00DF29FB"/>
    <w:rsid w:val="00DF2D27"/>
    <w:rsid w:val="00E14AE9"/>
    <w:rsid w:val="00E30BD3"/>
    <w:rsid w:val="00E36C84"/>
    <w:rsid w:val="00EE4636"/>
    <w:rsid w:val="00EE7F7C"/>
    <w:rsid w:val="00EF408B"/>
    <w:rsid w:val="00F3086B"/>
    <w:rsid w:val="00F41004"/>
    <w:rsid w:val="00F609F3"/>
    <w:rsid w:val="00F64338"/>
    <w:rsid w:val="00FA5A0F"/>
    <w:rsid w:val="00FD104D"/>
    <w:rsid w:val="00FF0576"/>
    <w:rsid w:val="00FF5F52"/>
    <w:rsid w:val="00FF6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29800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ECA"/>
  </w:style>
  <w:style w:type="paragraph" w:styleId="Heading1">
    <w:name w:val="heading 1"/>
    <w:basedOn w:val="Normal"/>
    <w:next w:val="Normal"/>
    <w:link w:val="Heading1Char"/>
    <w:uiPriority w:val="9"/>
    <w:qFormat/>
    <w:rsid w:val="00351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1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0D3731"/>
    <w:pPr>
      <w:spacing w:before="240" w:after="120" w:line="24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E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1E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351ECA"/>
    <w:rPr>
      <w:sz w:val="16"/>
      <w:szCs w:val="16"/>
    </w:rPr>
  </w:style>
  <w:style w:type="paragraph" w:styleId="CommentText">
    <w:name w:val="annotation text"/>
    <w:basedOn w:val="Normal"/>
    <w:link w:val="CommentTextChar"/>
    <w:uiPriority w:val="99"/>
    <w:unhideWhenUsed/>
    <w:rsid w:val="00351ECA"/>
    <w:pPr>
      <w:spacing w:line="240" w:lineRule="auto"/>
    </w:pPr>
    <w:rPr>
      <w:sz w:val="20"/>
      <w:szCs w:val="20"/>
    </w:rPr>
  </w:style>
  <w:style w:type="character" w:customStyle="1" w:styleId="CommentTextChar">
    <w:name w:val="Comment Text Char"/>
    <w:basedOn w:val="DefaultParagraphFont"/>
    <w:link w:val="CommentText"/>
    <w:uiPriority w:val="99"/>
    <w:rsid w:val="00351ECA"/>
    <w:rPr>
      <w:sz w:val="20"/>
      <w:szCs w:val="20"/>
    </w:rPr>
  </w:style>
  <w:style w:type="paragraph" w:styleId="ListParagraph">
    <w:name w:val="List Paragraph"/>
    <w:basedOn w:val="Normal"/>
    <w:uiPriority w:val="34"/>
    <w:qFormat/>
    <w:rsid w:val="00351ECA"/>
    <w:pPr>
      <w:spacing w:before="40" w:after="40" w:line="240" w:lineRule="auto"/>
      <w:contextualSpacing/>
    </w:pPr>
    <w:rPr>
      <w:rFonts w:ascii="Arial" w:eastAsia="Times New Roman" w:hAnsi="Arial" w:cs="Times New Roman"/>
      <w:color w:val="3B3838" w:themeColor="background2" w:themeShade="40"/>
      <w:sz w:val="20"/>
      <w:szCs w:val="24"/>
      <w:lang w:eastAsia="en-AU"/>
    </w:rPr>
  </w:style>
  <w:style w:type="character" w:styleId="Hyperlink">
    <w:name w:val="Hyperlink"/>
    <w:basedOn w:val="DefaultParagraphFont"/>
    <w:uiPriority w:val="99"/>
    <w:unhideWhenUsed/>
    <w:rsid w:val="00351ECA"/>
    <w:rPr>
      <w:color w:val="0563C1" w:themeColor="hyperlink"/>
      <w:u w:val="single"/>
    </w:rPr>
  </w:style>
  <w:style w:type="paragraph" w:styleId="FootnoteText">
    <w:name w:val="footnote text"/>
    <w:basedOn w:val="Normal"/>
    <w:link w:val="FootnoteTextChar"/>
    <w:uiPriority w:val="99"/>
    <w:semiHidden/>
    <w:unhideWhenUsed/>
    <w:rsid w:val="00351E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ECA"/>
    <w:rPr>
      <w:sz w:val="20"/>
      <w:szCs w:val="20"/>
    </w:rPr>
  </w:style>
  <w:style w:type="character" w:styleId="FootnoteReference">
    <w:name w:val="footnote reference"/>
    <w:basedOn w:val="DefaultParagraphFont"/>
    <w:uiPriority w:val="99"/>
    <w:semiHidden/>
    <w:unhideWhenUsed/>
    <w:rsid w:val="00351ECA"/>
    <w:rPr>
      <w:vertAlign w:val="superscript"/>
    </w:rPr>
  </w:style>
  <w:style w:type="paragraph" w:styleId="Header">
    <w:name w:val="header"/>
    <w:basedOn w:val="Normal"/>
    <w:link w:val="HeaderChar"/>
    <w:uiPriority w:val="99"/>
    <w:unhideWhenUsed/>
    <w:rsid w:val="0035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ECA"/>
  </w:style>
  <w:style w:type="paragraph" w:styleId="Footer">
    <w:name w:val="footer"/>
    <w:basedOn w:val="Normal"/>
    <w:link w:val="FooterChar"/>
    <w:uiPriority w:val="99"/>
    <w:unhideWhenUsed/>
    <w:rsid w:val="0035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ECA"/>
  </w:style>
  <w:style w:type="paragraph" w:styleId="TOCHeading">
    <w:name w:val="TOC Heading"/>
    <w:basedOn w:val="Heading1"/>
    <w:next w:val="Normal"/>
    <w:uiPriority w:val="39"/>
    <w:unhideWhenUsed/>
    <w:qFormat/>
    <w:rsid w:val="00351ECA"/>
    <w:pPr>
      <w:outlineLvl w:val="9"/>
    </w:pPr>
    <w:rPr>
      <w:lang w:val="en-US"/>
    </w:rPr>
  </w:style>
  <w:style w:type="paragraph" w:styleId="TOC1">
    <w:name w:val="toc 1"/>
    <w:basedOn w:val="Normal"/>
    <w:next w:val="Normal"/>
    <w:autoRedefine/>
    <w:uiPriority w:val="39"/>
    <w:unhideWhenUsed/>
    <w:rsid w:val="00351ECA"/>
    <w:pPr>
      <w:tabs>
        <w:tab w:val="right" w:leader="dot" w:pos="9016"/>
      </w:tabs>
      <w:spacing w:after="100"/>
    </w:pPr>
  </w:style>
  <w:style w:type="paragraph" w:styleId="TOC2">
    <w:name w:val="toc 2"/>
    <w:basedOn w:val="Normal"/>
    <w:next w:val="Normal"/>
    <w:autoRedefine/>
    <w:uiPriority w:val="39"/>
    <w:unhideWhenUsed/>
    <w:rsid w:val="00351ECA"/>
    <w:pPr>
      <w:spacing w:after="100"/>
      <w:ind w:left="220"/>
    </w:pPr>
  </w:style>
  <w:style w:type="paragraph" w:styleId="BalloonText">
    <w:name w:val="Balloon Text"/>
    <w:basedOn w:val="Normal"/>
    <w:link w:val="BalloonTextChar"/>
    <w:uiPriority w:val="99"/>
    <w:semiHidden/>
    <w:unhideWhenUsed/>
    <w:rsid w:val="00351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55D3"/>
    <w:rPr>
      <w:b/>
      <w:bCs/>
    </w:rPr>
  </w:style>
  <w:style w:type="character" w:customStyle="1" w:styleId="CommentSubjectChar">
    <w:name w:val="Comment Subject Char"/>
    <w:basedOn w:val="CommentTextChar"/>
    <w:link w:val="CommentSubject"/>
    <w:uiPriority w:val="99"/>
    <w:semiHidden/>
    <w:rsid w:val="002755D3"/>
    <w:rPr>
      <w:b/>
      <w:bCs/>
      <w:sz w:val="20"/>
      <w:szCs w:val="20"/>
    </w:rPr>
  </w:style>
  <w:style w:type="character" w:styleId="FollowedHyperlink">
    <w:name w:val="FollowedHyperlink"/>
    <w:basedOn w:val="DefaultParagraphFont"/>
    <w:uiPriority w:val="99"/>
    <w:semiHidden/>
    <w:unhideWhenUsed/>
    <w:rsid w:val="009A6428"/>
    <w:rPr>
      <w:color w:val="954F72" w:themeColor="followedHyperlink"/>
      <w:u w:val="single"/>
    </w:rPr>
  </w:style>
  <w:style w:type="paragraph" w:styleId="Revision">
    <w:name w:val="Revision"/>
    <w:hidden/>
    <w:uiPriority w:val="99"/>
    <w:semiHidden/>
    <w:rsid w:val="00BB561D"/>
    <w:pPr>
      <w:spacing w:after="0" w:line="240" w:lineRule="auto"/>
    </w:pPr>
  </w:style>
  <w:style w:type="paragraph" w:styleId="BodyText">
    <w:name w:val="Body Text"/>
    <w:basedOn w:val="Normal"/>
    <w:link w:val="BodyTextChar"/>
    <w:uiPriority w:val="1"/>
    <w:qFormat/>
    <w:rsid w:val="00597822"/>
    <w:pPr>
      <w:widowControl w:val="0"/>
      <w:spacing w:before="58" w:after="0" w:line="240" w:lineRule="auto"/>
      <w:ind w:left="1020"/>
    </w:pPr>
    <w:rPr>
      <w:rFonts w:ascii="Neo Sans Pro" w:eastAsia="Neo Sans Pro" w:hAnsi="Neo Sans Pro"/>
      <w:sz w:val="19"/>
      <w:szCs w:val="19"/>
      <w:lang w:val="en-US"/>
    </w:rPr>
  </w:style>
  <w:style w:type="character" w:customStyle="1" w:styleId="BodyTextChar">
    <w:name w:val="Body Text Char"/>
    <w:basedOn w:val="DefaultParagraphFont"/>
    <w:link w:val="BodyText"/>
    <w:uiPriority w:val="1"/>
    <w:rsid w:val="00597822"/>
    <w:rPr>
      <w:rFonts w:ascii="Neo Sans Pro" w:eastAsia="Neo Sans Pro" w:hAnsi="Neo Sans Pro"/>
      <w:sz w:val="19"/>
      <w:szCs w:val="19"/>
      <w:lang w:val="en-US"/>
    </w:rPr>
  </w:style>
  <w:style w:type="paragraph" w:customStyle="1" w:styleId="Bullet">
    <w:name w:val="Bullet"/>
    <w:basedOn w:val="Normal"/>
    <w:qFormat/>
    <w:rsid w:val="00160B81"/>
    <w:pPr>
      <w:numPr>
        <w:numId w:val="11"/>
      </w:numPr>
      <w:spacing w:after="120" w:line="240" w:lineRule="auto"/>
    </w:pPr>
    <w:rPr>
      <w:rFonts w:eastAsia="Times New Roman" w:cs="Times New Roman"/>
      <w:sz w:val="24"/>
      <w:szCs w:val="20"/>
    </w:rPr>
  </w:style>
  <w:style w:type="paragraph" w:styleId="Title">
    <w:name w:val="Title"/>
    <w:basedOn w:val="Normal"/>
    <w:next w:val="Normal"/>
    <w:link w:val="TitleChar"/>
    <w:uiPriority w:val="10"/>
    <w:qFormat/>
    <w:rsid w:val="004739D6"/>
    <w:pPr>
      <w:jc w:val="center"/>
    </w:pPr>
    <w:rPr>
      <w:b/>
      <w:color w:val="2E74B5" w:themeColor="accent1" w:themeShade="BF"/>
      <w:sz w:val="52"/>
      <w:szCs w:val="52"/>
    </w:rPr>
  </w:style>
  <w:style w:type="character" w:customStyle="1" w:styleId="TitleChar">
    <w:name w:val="Title Char"/>
    <w:basedOn w:val="DefaultParagraphFont"/>
    <w:link w:val="Title"/>
    <w:uiPriority w:val="10"/>
    <w:rsid w:val="004739D6"/>
    <w:rPr>
      <w:b/>
      <w:color w:val="2E74B5" w:themeColor="accent1" w:themeShade="BF"/>
      <w:sz w:val="52"/>
      <w:szCs w:val="52"/>
    </w:rPr>
  </w:style>
  <w:style w:type="character" w:customStyle="1" w:styleId="Heading3Char">
    <w:name w:val="Heading 3 Char"/>
    <w:basedOn w:val="DefaultParagraphFont"/>
    <w:link w:val="Heading3"/>
    <w:uiPriority w:val="9"/>
    <w:rsid w:val="000D37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1637">
      <w:bodyDiv w:val="1"/>
      <w:marLeft w:val="0"/>
      <w:marRight w:val="0"/>
      <w:marTop w:val="0"/>
      <w:marBottom w:val="0"/>
      <w:divBdr>
        <w:top w:val="none" w:sz="0" w:space="0" w:color="auto"/>
        <w:left w:val="none" w:sz="0" w:space="0" w:color="auto"/>
        <w:bottom w:val="none" w:sz="0" w:space="0" w:color="auto"/>
        <w:right w:val="none" w:sz="0" w:space="0" w:color="auto"/>
      </w:divBdr>
    </w:div>
    <w:div w:id="17325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opta.gov.au/media/neats2020/index.html" TargetMode="External"/><Relationship Id="rId2" Type="http://schemas.openxmlformats.org/officeDocument/2006/relationships/numbering" Target="numbering.xml"/><Relationship Id="rId16" Type="http://schemas.openxmlformats.org/officeDocument/2006/relationships/hyperlink" Target="http://www.industry.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opta.gov.au/ja_protocol.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opta.gov.au/media/self-assessment/index.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ndustry.gov.au/resource/UpstreamPetroleum/OffshorePetroleumRegulatoryRegime/Pages/default.aspx" TargetMode="External"/><Relationship Id="rId1" Type="http://schemas.openxmlformats.org/officeDocument/2006/relationships/hyperlink" Target="http://www.nopta.gov.au/media/stakeholder-surve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A2552-3580-4FF3-94DE-308502E1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NOPTA 2016-17 self-assessment against the Regulator Performance Framework</dc:title>
  <dc:subject/>
  <dc:creator/>
  <cp:keywords>self assessment; RPF; regulator performance framework</cp:keywords>
  <dc:description/>
  <cp:lastModifiedBy/>
  <cp:revision>1</cp:revision>
  <dcterms:created xsi:type="dcterms:W3CDTF">2018-01-15T00:09:00Z</dcterms:created>
  <dcterms:modified xsi:type="dcterms:W3CDTF">2018-01-15T00:43:00Z</dcterms:modified>
</cp:coreProperties>
</file>