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97A566" w14:textId="65BA27DD" w:rsidR="00F300B7" w:rsidRPr="00796831" w:rsidRDefault="00176A72" w:rsidP="00796831">
      <w:pPr>
        <w:jc w:val="center"/>
        <w:rPr>
          <w:b/>
          <w:color w:val="2E74B5" w:themeColor="accent1" w:themeShade="BF"/>
          <w:sz w:val="52"/>
          <w:szCs w:val="52"/>
        </w:rPr>
      </w:pPr>
      <w:bookmarkStart w:id="0" w:name="_Toc452644134"/>
      <w:bookmarkStart w:id="1" w:name="_Toc452709197"/>
      <w:bookmarkStart w:id="2" w:name="_Toc468884674"/>
      <w:r w:rsidRPr="00796831">
        <w:rPr>
          <w:b/>
          <w:color w:val="2E74B5" w:themeColor="accent1" w:themeShade="BF"/>
          <w:sz w:val="52"/>
          <w:szCs w:val="52"/>
        </w:rPr>
        <w:t>National Offshore Petroleum Titles Administrator (NOPTA)</w:t>
      </w:r>
      <w:bookmarkEnd w:id="0"/>
      <w:bookmarkEnd w:id="1"/>
      <w:bookmarkEnd w:id="2"/>
    </w:p>
    <w:p w14:paraId="3198460B" w14:textId="77777777" w:rsidR="00F300B7" w:rsidRPr="00796831" w:rsidRDefault="00F300B7" w:rsidP="00796831">
      <w:pPr>
        <w:jc w:val="center"/>
        <w:rPr>
          <w:b/>
          <w:color w:val="2E74B5" w:themeColor="accent1" w:themeShade="BF"/>
          <w:sz w:val="52"/>
          <w:szCs w:val="52"/>
        </w:rPr>
      </w:pPr>
    </w:p>
    <w:p w14:paraId="4AE5C408" w14:textId="342EB737" w:rsidR="00F300B7" w:rsidRPr="00796831" w:rsidRDefault="00F300B7" w:rsidP="00796831">
      <w:pPr>
        <w:jc w:val="center"/>
        <w:rPr>
          <w:b/>
          <w:color w:val="2E74B5" w:themeColor="accent1" w:themeShade="BF"/>
          <w:sz w:val="52"/>
          <w:szCs w:val="52"/>
        </w:rPr>
      </w:pPr>
      <w:bookmarkStart w:id="3" w:name="_Toc452644135"/>
      <w:bookmarkStart w:id="4" w:name="_Toc452709198"/>
      <w:bookmarkStart w:id="5" w:name="_Toc468884675"/>
      <w:r w:rsidRPr="00796831">
        <w:rPr>
          <w:b/>
          <w:color w:val="2E74B5" w:themeColor="accent1" w:themeShade="BF"/>
          <w:sz w:val="52"/>
          <w:szCs w:val="52"/>
        </w:rPr>
        <w:t>2015-16 self-assessment against the Regulator Performance Framework</w:t>
      </w:r>
      <w:bookmarkEnd w:id="3"/>
      <w:bookmarkEnd w:id="4"/>
      <w:bookmarkEnd w:id="5"/>
    </w:p>
    <w:p w14:paraId="59354CF2" w14:textId="77777777" w:rsidR="00176A72" w:rsidRDefault="00176A72" w:rsidP="00732E64">
      <w:pPr>
        <w:spacing w:line="240" w:lineRule="auto"/>
        <w:rPr>
          <w:rFonts w:ascii="Times New Roman" w:hAnsi="Times New Roman" w:cs="Times New Roman"/>
          <w:b/>
        </w:rPr>
      </w:pPr>
    </w:p>
    <w:p w14:paraId="0CB326D0" w14:textId="77777777" w:rsidR="00176A72" w:rsidRDefault="00176A72" w:rsidP="00732E64">
      <w:pPr>
        <w:spacing w:line="240" w:lineRule="auto"/>
        <w:rPr>
          <w:rFonts w:ascii="Times New Roman" w:hAnsi="Times New Roman" w:cs="Times New Roman"/>
          <w:b/>
        </w:rPr>
        <w:sectPr w:rsidR="00176A72" w:rsidSect="00C267D5">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09" w:footer="709" w:gutter="0"/>
          <w:cols w:space="708"/>
          <w:vAlign w:val="center"/>
          <w:docGrid w:linePitch="360"/>
        </w:sectPr>
      </w:pPr>
    </w:p>
    <w:sdt>
      <w:sdtPr>
        <w:rPr>
          <w:rFonts w:asciiTheme="minorHAnsi" w:eastAsiaTheme="minorHAnsi" w:hAnsiTheme="minorHAnsi" w:cstheme="minorBidi"/>
          <w:color w:val="auto"/>
          <w:sz w:val="22"/>
          <w:szCs w:val="22"/>
          <w:lang w:val="en-AU"/>
        </w:rPr>
        <w:id w:val="424773744"/>
        <w:docPartObj>
          <w:docPartGallery w:val="Table of Contents"/>
          <w:docPartUnique/>
        </w:docPartObj>
      </w:sdtPr>
      <w:sdtEndPr>
        <w:rPr>
          <w:b/>
          <w:bCs/>
          <w:noProof/>
        </w:rPr>
      </w:sdtEndPr>
      <w:sdtContent>
        <w:p w14:paraId="3DACCD86" w14:textId="2D75D6EC" w:rsidR="00176A72" w:rsidRPr="00561C17" w:rsidRDefault="00176A72" w:rsidP="00732E64">
          <w:pPr>
            <w:pStyle w:val="TOCHeading"/>
            <w:spacing w:line="240" w:lineRule="auto"/>
            <w:rPr>
              <w:b/>
            </w:rPr>
          </w:pPr>
          <w:r w:rsidRPr="00561C17">
            <w:rPr>
              <w:b/>
            </w:rPr>
            <w:t>Contents</w:t>
          </w:r>
        </w:p>
        <w:p w14:paraId="484F0893" w14:textId="77777777" w:rsidR="00176A72" w:rsidRPr="00176A72" w:rsidRDefault="00176A72" w:rsidP="00732E64">
          <w:pPr>
            <w:spacing w:line="240" w:lineRule="auto"/>
            <w:rPr>
              <w:lang w:val="en-US"/>
            </w:rPr>
          </w:pPr>
        </w:p>
        <w:p w14:paraId="7DEAED0B" w14:textId="77777777" w:rsidR="00796831" w:rsidRDefault="00176A72">
          <w:pPr>
            <w:pStyle w:val="TOC1"/>
            <w:rPr>
              <w:rFonts w:eastAsiaTheme="minorEastAsia"/>
              <w:noProof/>
              <w:lang w:eastAsia="en-AU"/>
            </w:rPr>
          </w:pPr>
          <w:r>
            <w:fldChar w:fldCharType="begin"/>
          </w:r>
          <w:r>
            <w:instrText xml:space="preserve"> TOC \o "1-3" \h \z \u </w:instrText>
          </w:r>
          <w:r>
            <w:fldChar w:fldCharType="separate"/>
          </w:r>
          <w:hyperlink w:anchor="_Toc468884900" w:history="1">
            <w:r w:rsidR="00796831" w:rsidRPr="00E070A3">
              <w:rPr>
                <w:rStyle w:val="Hyperlink"/>
                <w:b/>
                <w:noProof/>
              </w:rPr>
              <w:t>NOPTA - snapshot</w:t>
            </w:r>
            <w:r w:rsidR="00796831">
              <w:rPr>
                <w:noProof/>
                <w:webHidden/>
              </w:rPr>
              <w:tab/>
            </w:r>
            <w:r w:rsidR="00796831">
              <w:rPr>
                <w:noProof/>
                <w:webHidden/>
              </w:rPr>
              <w:fldChar w:fldCharType="begin"/>
            </w:r>
            <w:r w:rsidR="00796831">
              <w:rPr>
                <w:noProof/>
                <w:webHidden/>
              </w:rPr>
              <w:instrText xml:space="preserve"> PAGEREF _Toc468884900 \h </w:instrText>
            </w:r>
            <w:r w:rsidR="00796831">
              <w:rPr>
                <w:noProof/>
                <w:webHidden/>
              </w:rPr>
            </w:r>
            <w:r w:rsidR="00796831">
              <w:rPr>
                <w:noProof/>
                <w:webHidden/>
              </w:rPr>
              <w:fldChar w:fldCharType="separate"/>
            </w:r>
            <w:r w:rsidR="00B71481">
              <w:rPr>
                <w:noProof/>
                <w:webHidden/>
              </w:rPr>
              <w:t>3</w:t>
            </w:r>
            <w:r w:rsidR="00796831">
              <w:rPr>
                <w:noProof/>
                <w:webHidden/>
              </w:rPr>
              <w:fldChar w:fldCharType="end"/>
            </w:r>
          </w:hyperlink>
        </w:p>
        <w:p w14:paraId="3894BDDA" w14:textId="77777777" w:rsidR="00796831" w:rsidRDefault="009F416D">
          <w:pPr>
            <w:pStyle w:val="TOC1"/>
            <w:rPr>
              <w:rFonts w:eastAsiaTheme="minorEastAsia"/>
              <w:noProof/>
              <w:lang w:eastAsia="en-AU"/>
            </w:rPr>
          </w:pPr>
          <w:hyperlink w:anchor="_Toc468884901" w:history="1">
            <w:r w:rsidR="00796831" w:rsidRPr="00E070A3">
              <w:rPr>
                <w:rStyle w:val="Hyperlink"/>
                <w:b/>
                <w:noProof/>
              </w:rPr>
              <w:t>Introduction</w:t>
            </w:r>
            <w:r w:rsidR="00796831">
              <w:rPr>
                <w:noProof/>
                <w:webHidden/>
              </w:rPr>
              <w:tab/>
            </w:r>
            <w:r w:rsidR="00796831">
              <w:rPr>
                <w:noProof/>
                <w:webHidden/>
              </w:rPr>
              <w:fldChar w:fldCharType="begin"/>
            </w:r>
            <w:r w:rsidR="00796831">
              <w:rPr>
                <w:noProof/>
                <w:webHidden/>
              </w:rPr>
              <w:instrText xml:space="preserve"> PAGEREF _Toc468884901 \h </w:instrText>
            </w:r>
            <w:r w:rsidR="00796831">
              <w:rPr>
                <w:noProof/>
                <w:webHidden/>
              </w:rPr>
            </w:r>
            <w:r w:rsidR="00796831">
              <w:rPr>
                <w:noProof/>
                <w:webHidden/>
              </w:rPr>
              <w:fldChar w:fldCharType="separate"/>
            </w:r>
            <w:r w:rsidR="00B71481">
              <w:rPr>
                <w:noProof/>
                <w:webHidden/>
              </w:rPr>
              <w:t>4</w:t>
            </w:r>
            <w:r w:rsidR="00796831">
              <w:rPr>
                <w:noProof/>
                <w:webHidden/>
              </w:rPr>
              <w:fldChar w:fldCharType="end"/>
            </w:r>
          </w:hyperlink>
        </w:p>
        <w:p w14:paraId="3D441B9A" w14:textId="77777777" w:rsidR="00796831" w:rsidRDefault="009F416D">
          <w:pPr>
            <w:pStyle w:val="TOC2"/>
            <w:tabs>
              <w:tab w:val="right" w:leader="dot" w:pos="9016"/>
            </w:tabs>
            <w:rPr>
              <w:rFonts w:eastAsiaTheme="minorEastAsia"/>
              <w:noProof/>
              <w:lang w:eastAsia="en-AU"/>
            </w:rPr>
          </w:pPr>
          <w:hyperlink w:anchor="_Toc468884902" w:history="1">
            <w:r w:rsidR="00796831" w:rsidRPr="00E070A3">
              <w:rPr>
                <w:rStyle w:val="Hyperlink"/>
                <w:noProof/>
              </w:rPr>
              <w:t>About NOPTA</w:t>
            </w:r>
            <w:r w:rsidR="00796831">
              <w:rPr>
                <w:noProof/>
                <w:webHidden/>
              </w:rPr>
              <w:tab/>
            </w:r>
            <w:r w:rsidR="00796831">
              <w:rPr>
                <w:noProof/>
                <w:webHidden/>
              </w:rPr>
              <w:fldChar w:fldCharType="begin"/>
            </w:r>
            <w:r w:rsidR="00796831">
              <w:rPr>
                <w:noProof/>
                <w:webHidden/>
              </w:rPr>
              <w:instrText xml:space="preserve"> PAGEREF _Toc468884902 \h </w:instrText>
            </w:r>
            <w:r w:rsidR="00796831">
              <w:rPr>
                <w:noProof/>
                <w:webHidden/>
              </w:rPr>
            </w:r>
            <w:r w:rsidR="00796831">
              <w:rPr>
                <w:noProof/>
                <w:webHidden/>
              </w:rPr>
              <w:fldChar w:fldCharType="separate"/>
            </w:r>
            <w:r w:rsidR="00B71481">
              <w:rPr>
                <w:noProof/>
                <w:webHidden/>
              </w:rPr>
              <w:t>4</w:t>
            </w:r>
            <w:r w:rsidR="00796831">
              <w:rPr>
                <w:noProof/>
                <w:webHidden/>
              </w:rPr>
              <w:fldChar w:fldCharType="end"/>
            </w:r>
          </w:hyperlink>
        </w:p>
        <w:p w14:paraId="78E3C0C1" w14:textId="77777777" w:rsidR="00796831" w:rsidRDefault="009F416D">
          <w:pPr>
            <w:pStyle w:val="TOC2"/>
            <w:tabs>
              <w:tab w:val="right" w:leader="dot" w:pos="9016"/>
            </w:tabs>
            <w:rPr>
              <w:rFonts w:eastAsiaTheme="minorEastAsia"/>
              <w:noProof/>
              <w:lang w:eastAsia="en-AU"/>
            </w:rPr>
          </w:pPr>
          <w:hyperlink w:anchor="_Toc468884903" w:history="1">
            <w:r w:rsidR="00796831" w:rsidRPr="00E070A3">
              <w:rPr>
                <w:rStyle w:val="Hyperlink"/>
                <w:noProof/>
              </w:rPr>
              <w:t>NOPTA’s role</w:t>
            </w:r>
            <w:r w:rsidR="00796831">
              <w:rPr>
                <w:noProof/>
                <w:webHidden/>
              </w:rPr>
              <w:tab/>
            </w:r>
            <w:r w:rsidR="00796831">
              <w:rPr>
                <w:noProof/>
                <w:webHidden/>
              </w:rPr>
              <w:fldChar w:fldCharType="begin"/>
            </w:r>
            <w:r w:rsidR="00796831">
              <w:rPr>
                <w:noProof/>
                <w:webHidden/>
              </w:rPr>
              <w:instrText xml:space="preserve"> PAGEREF _Toc468884903 \h </w:instrText>
            </w:r>
            <w:r w:rsidR="00796831">
              <w:rPr>
                <w:noProof/>
                <w:webHidden/>
              </w:rPr>
            </w:r>
            <w:r w:rsidR="00796831">
              <w:rPr>
                <w:noProof/>
                <w:webHidden/>
              </w:rPr>
              <w:fldChar w:fldCharType="separate"/>
            </w:r>
            <w:r w:rsidR="00B71481">
              <w:rPr>
                <w:noProof/>
                <w:webHidden/>
              </w:rPr>
              <w:t>4</w:t>
            </w:r>
            <w:r w:rsidR="00796831">
              <w:rPr>
                <w:noProof/>
                <w:webHidden/>
              </w:rPr>
              <w:fldChar w:fldCharType="end"/>
            </w:r>
          </w:hyperlink>
        </w:p>
        <w:p w14:paraId="546695D6" w14:textId="77777777" w:rsidR="00796831" w:rsidRDefault="009F416D">
          <w:pPr>
            <w:pStyle w:val="TOC2"/>
            <w:tabs>
              <w:tab w:val="right" w:leader="dot" w:pos="9016"/>
            </w:tabs>
            <w:rPr>
              <w:rFonts w:eastAsiaTheme="minorEastAsia"/>
              <w:noProof/>
              <w:lang w:eastAsia="en-AU"/>
            </w:rPr>
          </w:pPr>
          <w:hyperlink w:anchor="_Toc468884904" w:history="1">
            <w:r w:rsidR="00796831" w:rsidRPr="00E070A3">
              <w:rPr>
                <w:rStyle w:val="Hyperlink"/>
                <w:noProof/>
              </w:rPr>
              <w:t>Regulated entities and stakeholders</w:t>
            </w:r>
            <w:r w:rsidR="00796831">
              <w:rPr>
                <w:noProof/>
                <w:webHidden/>
              </w:rPr>
              <w:tab/>
            </w:r>
            <w:r w:rsidR="00796831">
              <w:rPr>
                <w:noProof/>
                <w:webHidden/>
              </w:rPr>
              <w:fldChar w:fldCharType="begin"/>
            </w:r>
            <w:r w:rsidR="00796831">
              <w:rPr>
                <w:noProof/>
                <w:webHidden/>
              </w:rPr>
              <w:instrText xml:space="preserve"> PAGEREF _Toc468884904 \h </w:instrText>
            </w:r>
            <w:r w:rsidR="00796831">
              <w:rPr>
                <w:noProof/>
                <w:webHidden/>
              </w:rPr>
            </w:r>
            <w:r w:rsidR="00796831">
              <w:rPr>
                <w:noProof/>
                <w:webHidden/>
              </w:rPr>
              <w:fldChar w:fldCharType="separate"/>
            </w:r>
            <w:r w:rsidR="00B71481">
              <w:rPr>
                <w:noProof/>
                <w:webHidden/>
              </w:rPr>
              <w:t>5</w:t>
            </w:r>
            <w:r w:rsidR="00796831">
              <w:rPr>
                <w:noProof/>
                <w:webHidden/>
              </w:rPr>
              <w:fldChar w:fldCharType="end"/>
            </w:r>
          </w:hyperlink>
        </w:p>
        <w:p w14:paraId="7E8F17F8" w14:textId="77777777" w:rsidR="00796831" w:rsidRDefault="009F416D">
          <w:pPr>
            <w:pStyle w:val="TOC2"/>
            <w:tabs>
              <w:tab w:val="right" w:leader="dot" w:pos="9016"/>
            </w:tabs>
            <w:rPr>
              <w:rFonts w:eastAsiaTheme="minorEastAsia"/>
              <w:noProof/>
              <w:lang w:eastAsia="en-AU"/>
            </w:rPr>
          </w:pPr>
          <w:hyperlink w:anchor="_Toc468884905" w:history="1">
            <w:r w:rsidR="00796831" w:rsidRPr="00E070A3">
              <w:rPr>
                <w:rStyle w:val="Hyperlink"/>
                <w:noProof/>
              </w:rPr>
              <w:t>External Review</w:t>
            </w:r>
            <w:r w:rsidR="00796831">
              <w:rPr>
                <w:noProof/>
                <w:webHidden/>
              </w:rPr>
              <w:tab/>
            </w:r>
            <w:r w:rsidR="00796831">
              <w:rPr>
                <w:noProof/>
                <w:webHidden/>
              </w:rPr>
              <w:fldChar w:fldCharType="begin"/>
            </w:r>
            <w:r w:rsidR="00796831">
              <w:rPr>
                <w:noProof/>
                <w:webHidden/>
              </w:rPr>
              <w:instrText xml:space="preserve"> PAGEREF _Toc468884905 \h </w:instrText>
            </w:r>
            <w:r w:rsidR="00796831">
              <w:rPr>
                <w:noProof/>
                <w:webHidden/>
              </w:rPr>
            </w:r>
            <w:r w:rsidR="00796831">
              <w:rPr>
                <w:noProof/>
                <w:webHidden/>
              </w:rPr>
              <w:fldChar w:fldCharType="separate"/>
            </w:r>
            <w:r w:rsidR="00B71481">
              <w:rPr>
                <w:noProof/>
                <w:webHidden/>
              </w:rPr>
              <w:t>5</w:t>
            </w:r>
            <w:r w:rsidR="00796831">
              <w:rPr>
                <w:noProof/>
                <w:webHidden/>
              </w:rPr>
              <w:fldChar w:fldCharType="end"/>
            </w:r>
          </w:hyperlink>
        </w:p>
        <w:p w14:paraId="52976E24" w14:textId="77777777" w:rsidR="00796831" w:rsidRDefault="009F416D">
          <w:pPr>
            <w:pStyle w:val="TOC2"/>
            <w:tabs>
              <w:tab w:val="right" w:leader="dot" w:pos="9016"/>
            </w:tabs>
            <w:rPr>
              <w:rFonts w:eastAsiaTheme="minorEastAsia"/>
              <w:noProof/>
              <w:lang w:eastAsia="en-AU"/>
            </w:rPr>
          </w:pPr>
          <w:hyperlink w:anchor="_Toc468884906" w:history="1">
            <w:r w:rsidR="00796831" w:rsidRPr="00E070A3">
              <w:rPr>
                <w:rStyle w:val="Hyperlink"/>
                <w:noProof/>
              </w:rPr>
              <w:t>The Regulator Performance Framework and Self-Assessment</w:t>
            </w:r>
            <w:r w:rsidR="00796831">
              <w:rPr>
                <w:noProof/>
                <w:webHidden/>
              </w:rPr>
              <w:tab/>
            </w:r>
            <w:r w:rsidR="00796831">
              <w:rPr>
                <w:noProof/>
                <w:webHidden/>
              </w:rPr>
              <w:fldChar w:fldCharType="begin"/>
            </w:r>
            <w:r w:rsidR="00796831">
              <w:rPr>
                <w:noProof/>
                <w:webHidden/>
              </w:rPr>
              <w:instrText xml:space="preserve"> PAGEREF _Toc468884906 \h </w:instrText>
            </w:r>
            <w:r w:rsidR="00796831">
              <w:rPr>
                <w:noProof/>
                <w:webHidden/>
              </w:rPr>
            </w:r>
            <w:r w:rsidR="00796831">
              <w:rPr>
                <w:noProof/>
                <w:webHidden/>
              </w:rPr>
              <w:fldChar w:fldCharType="separate"/>
            </w:r>
            <w:r w:rsidR="00B71481">
              <w:rPr>
                <w:noProof/>
                <w:webHidden/>
              </w:rPr>
              <w:t>5</w:t>
            </w:r>
            <w:r w:rsidR="00796831">
              <w:rPr>
                <w:noProof/>
                <w:webHidden/>
              </w:rPr>
              <w:fldChar w:fldCharType="end"/>
            </w:r>
          </w:hyperlink>
        </w:p>
        <w:p w14:paraId="16694E65" w14:textId="77777777" w:rsidR="00796831" w:rsidRDefault="009F416D">
          <w:pPr>
            <w:pStyle w:val="TOC2"/>
            <w:tabs>
              <w:tab w:val="right" w:leader="dot" w:pos="9016"/>
            </w:tabs>
            <w:rPr>
              <w:rFonts w:eastAsiaTheme="minorEastAsia"/>
              <w:noProof/>
              <w:lang w:eastAsia="en-AU"/>
            </w:rPr>
          </w:pPr>
          <w:hyperlink w:anchor="_Toc468884907" w:history="1">
            <w:r w:rsidR="00796831" w:rsidRPr="00E070A3">
              <w:rPr>
                <w:rStyle w:val="Hyperlink"/>
                <w:noProof/>
              </w:rPr>
              <w:t>NOPTA’s implementation of the RPF</w:t>
            </w:r>
            <w:r w:rsidR="00796831">
              <w:rPr>
                <w:noProof/>
                <w:webHidden/>
              </w:rPr>
              <w:tab/>
            </w:r>
            <w:r w:rsidR="00796831">
              <w:rPr>
                <w:noProof/>
                <w:webHidden/>
              </w:rPr>
              <w:fldChar w:fldCharType="begin"/>
            </w:r>
            <w:r w:rsidR="00796831">
              <w:rPr>
                <w:noProof/>
                <w:webHidden/>
              </w:rPr>
              <w:instrText xml:space="preserve"> PAGEREF _Toc468884907 \h </w:instrText>
            </w:r>
            <w:r w:rsidR="00796831">
              <w:rPr>
                <w:noProof/>
                <w:webHidden/>
              </w:rPr>
            </w:r>
            <w:r w:rsidR="00796831">
              <w:rPr>
                <w:noProof/>
                <w:webHidden/>
              </w:rPr>
              <w:fldChar w:fldCharType="separate"/>
            </w:r>
            <w:r w:rsidR="00B71481">
              <w:rPr>
                <w:noProof/>
                <w:webHidden/>
              </w:rPr>
              <w:t>6</w:t>
            </w:r>
            <w:r w:rsidR="00796831">
              <w:rPr>
                <w:noProof/>
                <w:webHidden/>
              </w:rPr>
              <w:fldChar w:fldCharType="end"/>
            </w:r>
          </w:hyperlink>
        </w:p>
        <w:p w14:paraId="60F14112" w14:textId="77777777" w:rsidR="00796831" w:rsidRDefault="009F416D">
          <w:pPr>
            <w:pStyle w:val="TOC2"/>
            <w:tabs>
              <w:tab w:val="right" w:leader="dot" w:pos="9016"/>
            </w:tabs>
            <w:rPr>
              <w:rFonts w:eastAsiaTheme="minorEastAsia"/>
              <w:noProof/>
              <w:lang w:eastAsia="en-AU"/>
            </w:rPr>
          </w:pPr>
          <w:hyperlink w:anchor="_Toc468884908" w:history="1">
            <w:r w:rsidR="00796831" w:rsidRPr="00E070A3">
              <w:rPr>
                <w:rStyle w:val="Hyperlink"/>
                <w:b/>
                <w:noProof/>
              </w:rPr>
              <w:t>KPI 1: Regulators do not unnecessarily impede the efficient operation of regulated entities</w:t>
            </w:r>
            <w:r w:rsidR="00796831">
              <w:rPr>
                <w:noProof/>
                <w:webHidden/>
              </w:rPr>
              <w:tab/>
            </w:r>
            <w:r w:rsidR="00796831">
              <w:rPr>
                <w:noProof/>
                <w:webHidden/>
              </w:rPr>
              <w:fldChar w:fldCharType="begin"/>
            </w:r>
            <w:r w:rsidR="00796831">
              <w:rPr>
                <w:noProof/>
                <w:webHidden/>
              </w:rPr>
              <w:instrText xml:space="preserve"> PAGEREF _Toc468884908 \h </w:instrText>
            </w:r>
            <w:r w:rsidR="00796831">
              <w:rPr>
                <w:noProof/>
                <w:webHidden/>
              </w:rPr>
            </w:r>
            <w:r w:rsidR="00796831">
              <w:rPr>
                <w:noProof/>
                <w:webHidden/>
              </w:rPr>
              <w:fldChar w:fldCharType="separate"/>
            </w:r>
            <w:r w:rsidR="00B71481">
              <w:rPr>
                <w:noProof/>
                <w:webHidden/>
              </w:rPr>
              <w:t>7</w:t>
            </w:r>
            <w:r w:rsidR="00796831">
              <w:rPr>
                <w:noProof/>
                <w:webHidden/>
              </w:rPr>
              <w:fldChar w:fldCharType="end"/>
            </w:r>
          </w:hyperlink>
        </w:p>
        <w:p w14:paraId="225A3B37" w14:textId="77777777" w:rsidR="00796831" w:rsidRDefault="009F416D">
          <w:pPr>
            <w:pStyle w:val="TOC2"/>
            <w:tabs>
              <w:tab w:val="right" w:leader="dot" w:pos="9016"/>
            </w:tabs>
            <w:rPr>
              <w:rFonts w:eastAsiaTheme="minorEastAsia"/>
              <w:noProof/>
              <w:lang w:eastAsia="en-AU"/>
            </w:rPr>
          </w:pPr>
          <w:hyperlink w:anchor="_Toc468884909" w:history="1">
            <w:r w:rsidR="00796831" w:rsidRPr="00E070A3">
              <w:rPr>
                <w:rStyle w:val="Hyperlink"/>
                <w:noProof/>
              </w:rPr>
              <w:t>Summary</w:t>
            </w:r>
            <w:r w:rsidR="00796831">
              <w:rPr>
                <w:noProof/>
                <w:webHidden/>
              </w:rPr>
              <w:tab/>
            </w:r>
            <w:r w:rsidR="00796831">
              <w:rPr>
                <w:noProof/>
                <w:webHidden/>
              </w:rPr>
              <w:fldChar w:fldCharType="begin"/>
            </w:r>
            <w:r w:rsidR="00796831">
              <w:rPr>
                <w:noProof/>
                <w:webHidden/>
              </w:rPr>
              <w:instrText xml:space="preserve"> PAGEREF _Toc468884909 \h </w:instrText>
            </w:r>
            <w:r w:rsidR="00796831">
              <w:rPr>
                <w:noProof/>
                <w:webHidden/>
              </w:rPr>
            </w:r>
            <w:r w:rsidR="00796831">
              <w:rPr>
                <w:noProof/>
                <w:webHidden/>
              </w:rPr>
              <w:fldChar w:fldCharType="separate"/>
            </w:r>
            <w:r w:rsidR="00B71481">
              <w:rPr>
                <w:noProof/>
                <w:webHidden/>
              </w:rPr>
              <w:t>7</w:t>
            </w:r>
            <w:r w:rsidR="00796831">
              <w:rPr>
                <w:noProof/>
                <w:webHidden/>
              </w:rPr>
              <w:fldChar w:fldCharType="end"/>
            </w:r>
          </w:hyperlink>
        </w:p>
        <w:p w14:paraId="7A9E6121" w14:textId="77777777" w:rsidR="00796831" w:rsidRDefault="009F416D">
          <w:pPr>
            <w:pStyle w:val="TOC2"/>
            <w:tabs>
              <w:tab w:val="right" w:leader="dot" w:pos="9016"/>
            </w:tabs>
            <w:rPr>
              <w:rFonts w:eastAsiaTheme="minorEastAsia"/>
              <w:noProof/>
              <w:lang w:eastAsia="en-AU"/>
            </w:rPr>
          </w:pPr>
          <w:hyperlink w:anchor="_Toc468884910" w:history="1">
            <w:r w:rsidR="00796831" w:rsidRPr="00E070A3">
              <w:rPr>
                <w:rStyle w:val="Hyperlink"/>
                <w:noProof/>
              </w:rPr>
              <w:t>KPI Expectations</w:t>
            </w:r>
            <w:r w:rsidR="00796831">
              <w:rPr>
                <w:noProof/>
                <w:webHidden/>
              </w:rPr>
              <w:tab/>
            </w:r>
            <w:r w:rsidR="00796831">
              <w:rPr>
                <w:noProof/>
                <w:webHidden/>
              </w:rPr>
              <w:fldChar w:fldCharType="begin"/>
            </w:r>
            <w:r w:rsidR="00796831">
              <w:rPr>
                <w:noProof/>
                <w:webHidden/>
              </w:rPr>
              <w:instrText xml:space="preserve"> PAGEREF _Toc468884910 \h </w:instrText>
            </w:r>
            <w:r w:rsidR="00796831">
              <w:rPr>
                <w:noProof/>
                <w:webHidden/>
              </w:rPr>
            </w:r>
            <w:r w:rsidR="00796831">
              <w:rPr>
                <w:noProof/>
                <w:webHidden/>
              </w:rPr>
              <w:fldChar w:fldCharType="separate"/>
            </w:r>
            <w:r w:rsidR="00B71481">
              <w:rPr>
                <w:noProof/>
                <w:webHidden/>
              </w:rPr>
              <w:t>7</w:t>
            </w:r>
            <w:r w:rsidR="00796831">
              <w:rPr>
                <w:noProof/>
                <w:webHidden/>
              </w:rPr>
              <w:fldChar w:fldCharType="end"/>
            </w:r>
          </w:hyperlink>
        </w:p>
        <w:p w14:paraId="29011903" w14:textId="77777777" w:rsidR="00796831" w:rsidRDefault="009F416D">
          <w:pPr>
            <w:pStyle w:val="TOC2"/>
            <w:tabs>
              <w:tab w:val="right" w:leader="dot" w:pos="9016"/>
            </w:tabs>
            <w:rPr>
              <w:rFonts w:eastAsiaTheme="minorEastAsia"/>
              <w:noProof/>
              <w:lang w:eastAsia="en-AU"/>
            </w:rPr>
          </w:pPr>
          <w:hyperlink w:anchor="_Toc468884911" w:history="1">
            <w:r w:rsidR="00796831" w:rsidRPr="00E070A3">
              <w:rPr>
                <w:rStyle w:val="Hyperlink"/>
                <w:noProof/>
              </w:rPr>
              <w:t>NOPTA’s Approach</w:t>
            </w:r>
            <w:r w:rsidR="00796831">
              <w:rPr>
                <w:noProof/>
                <w:webHidden/>
              </w:rPr>
              <w:tab/>
            </w:r>
            <w:r w:rsidR="00796831">
              <w:rPr>
                <w:noProof/>
                <w:webHidden/>
              </w:rPr>
              <w:fldChar w:fldCharType="begin"/>
            </w:r>
            <w:r w:rsidR="00796831">
              <w:rPr>
                <w:noProof/>
                <w:webHidden/>
              </w:rPr>
              <w:instrText xml:space="preserve"> PAGEREF _Toc468884911 \h </w:instrText>
            </w:r>
            <w:r w:rsidR="00796831">
              <w:rPr>
                <w:noProof/>
                <w:webHidden/>
              </w:rPr>
            </w:r>
            <w:r w:rsidR="00796831">
              <w:rPr>
                <w:noProof/>
                <w:webHidden/>
              </w:rPr>
              <w:fldChar w:fldCharType="separate"/>
            </w:r>
            <w:r w:rsidR="00B71481">
              <w:rPr>
                <w:noProof/>
                <w:webHidden/>
              </w:rPr>
              <w:t>7</w:t>
            </w:r>
            <w:r w:rsidR="00796831">
              <w:rPr>
                <w:noProof/>
                <w:webHidden/>
              </w:rPr>
              <w:fldChar w:fldCharType="end"/>
            </w:r>
          </w:hyperlink>
        </w:p>
        <w:p w14:paraId="2A2962D4" w14:textId="77777777" w:rsidR="00796831" w:rsidRDefault="009F416D">
          <w:pPr>
            <w:pStyle w:val="TOC2"/>
            <w:tabs>
              <w:tab w:val="right" w:leader="dot" w:pos="9016"/>
            </w:tabs>
            <w:rPr>
              <w:rFonts w:eastAsiaTheme="minorEastAsia"/>
              <w:noProof/>
              <w:lang w:eastAsia="en-AU"/>
            </w:rPr>
          </w:pPr>
          <w:hyperlink w:anchor="_Toc468884912" w:history="1">
            <w:r w:rsidR="00796831" w:rsidRPr="00E070A3">
              <w:rPr>
                <w:rStyle w:val="Hyperlink"/>
                <w:noProof/>
              </w:rPr>
              <w:t>Results</w:t>
            </w:r>
            <w:r w:rsidR="00796831">
              <w:rPr>
                <w:noProof/>
                <w:webHidden/>
              </w:rPr>
              <w:tab/>
            </w:r>
            <w:r w:rsidR="00796831">
              <w:rPr>
                <w:noProof/>
                <w:webHidden/>
              </w:rPr>
              <w:fldChar w:fldCharType="begin"/>
            </w:r>
            <w:r w:rsidR="00796831">
              <w:rPr>
                <w:noProof/>
                <w:webHidden/>
              </w:rPr>
              <w:instrText xml:space="preserve"> PAGEREF _Toc468884912 \h </w:instrText>
            </w:r>
            <w:r w:rsidR="00796831">
              <w:rPr>
                <w:noProof/>
                <w:webHidden/>
              </w:rPr>
            </w:r>
            <w:r w:rsidR="00796831">
              <w:rPr>
                <w:noProof/>
                <w:webHidden/>
              </w:rPr>
              <w:fldChar w:fldCharType="separate"/>
            </w:r>
            <w:r w:rsidR="00B71481">
              <w:rPr>
                <w:noProof/>
                <w:webHidden/>
              </w:rPr>
              <w:t>7</w:t>
            </w:r>
            <w:r w:rsidR="00796831">
              <w:rPr>
                <w:noProof/>
                <w:webHidden/>
              </w:rPr>
              <w:fldChar w:fldCharType="end"/>
            </w:r>
          </w:hyperlink>
        </w:p>
        <w:p w14:paraId="10C13796" w14:textId="77777777" w:rsidR="00796831" w:rsidRDefault="009F416D">
          <w:pPr>
            <w:pStyle w:val="TOC2"/>
            <w:tabs>
              <w:tab w:val="right" w:leader="dot" w:pos="9016"/>
            </w:tabs>
            <w:rPr>
              <w:rFonts w:eastAsiaTheme="minorEastAsia"/>
              <w:noProof/>
              <w:lang w:eastAsia="en-AU"/>
            </w:rPr>
          </w:pPr>
          <w:hyperlink w:anchor="_Toc468884913" w:history="1">
            <w:r w:rsidR="00796831" w:rsidRPr="00E070A3">
              <w:rPr>
                <w:rStyle w:val="Hyperlink"/>
                <w:noProof/>
              </w:rPr>
              <w:t>Stakeholder comments</w:t>
            </w:r>
            <w:r w:rsidR="00796831">
              <w:rPr>
                <w:noProof/>
                <w:webHidden/>
              </w:rPr>
              <w:tab/>
            </w:r>
            <w:r w:rsidR="00796831">
              <w:rPr>
                <w:noProof/>
                <w:webHidden/>
              </w:rPr>
              <w:fldChar w:fldCharType="begin"/>
            </w:r>
            <w:r w:rsidR="00796831">
              <w:rPr>
                <w:noProof/>
                <w:webHidden/>
              </w:rPr>
              <w:instrText xml:space="preserve"> PAGEREF _Toc468884913 \h </w:instrText>
            </w:r>
            <w:r w:rsidR="00796831">
              <w:rPr>
                <w:noProof/>
                <w:webHidden/>
              </w:rPr>
            </w:r>
            <w:r w:rsidR="00796831">
              <w:rPr>
                <w:noProof/>
                <w:webHidden/>
              </w:rPr>
              <w:fldChar w:fldCharType="separate"/>
            </w:r>
            <w:r w:rsidR="00B71481">
              <w:rPr>
                <w:noProof/>
                <w:webHidden/>
              </w:rPr>
              <w:t>9</w:t>
            </w:r>
            <w:r w:rsidR="00796831">
              <w:rPr>
                <w:noProof/>
                <w:webHidden/>
              </w:rPr>
              <w:fldChar w:fldCharType="end"/>
            </w:r>
          </w:hyperlink>
        </w:p>
        <w:p w14:paraId="5F7E1D6D" w14:textId="77777777" w:rsidR="00796831" w:rsidRDefault="009F416D">
          <w:pPr>
            <w:pStyle w:val="TOC2"/>
            <w:tabs>
              <w:tab w:val="right" w:leader="dot" w:pos="9016"/>
            </w:tabs>
            <w:rPr>
              <w:rFonts w:eastAsiaTheme="minorEastAsia"/>
              <w:noProof/>
              <w:lang w:eastAsia="en-AU"/>
            </w:rPr>
          </w:pPr>
          <w:hyperlink w:anchor="_Toc468884914" w:history="1">
            <w:r w:rsidR="00796831" w:rsidRPr="00E070A3">
              <w:rPr>
                <w:rStyle w:val="Hyperlink"/>
                <w:b/>
                <w:noProof/>
              </w:rPr>
              <w:t>KPI 2: Communication with regulated entities is clear, targeted and effective</w:t>
            </w:r>
            <w:r w:rsidR="00796831">
              <w:rPr>
                <w:noProof/>
                <w:webHidden/>
              </w:rPr>
              <w:tab/>
            </w:r>
            <w:r w:rsidR="00796831">
              <w:rPr>
                <w:noProof/>
                <w:webHidden/>
              </w:rPr>
              <w:fldChar w:fldCharType="begin"/>
            </w:r>
            <w:r w:rsidR="00796831">
              <w:rPr>
                <w:noProof/>
                <w:webHidden/>
              </w:rPr>
              <w:instrText xml:space="preserve"> PAGEREF _Toc468884914 \h </w:instrText>
            </w:r>
            <w:r w:rsidR="00796831">
              <w:rPr>
                <w:noProof/>
                <w:webHidden/>
              </w:rPr>
            </w:r>
            <w:r w:rsidR="00796831">
              <w:rPr>
                <w:noProof/>
                <w:webHidden/>
              </w:rPr>
              <w:fldChar w:fldCharType="separate"/>
            </w:r>
            <w:r w:rsidR="00B71481">
              <w:rPr>
                <w:noProof/>
                <w:webHidden/>
              </w:rPr>
              <w:t>11</w:t>
            </w:r>
            <w:r w:rsidR="00796831">
              <w:rPr>
                <w:noProof/>
                <w:webHidden/>
              </w:rPr>
              <w:fldChar w:fldCharType="end"/>
            </w:r>
          </w:hyperlink>
        </w:p>
        <w:p w14:paraId="043BD7B0" w14:textId="77777777" w:rsidR="00796831" w:rsidRDefault="009F416D">
          <w:pPr>
            <w:pStyle w:val="TOC2"/>
            <w:tabs>
              <w:tab w:val="right" w:leader="dot" w:pos="9016"/>
            </w:tabs>
            <w:rPr>
              <w:rFonts w:eastAsiaTheme="minorEastAsia"/>
              <w:noProof/>
              <w:lang w:eastAsia="en-AU"/>
            </w:rPr>
          </w:pPr>
          <w:hyperlink w:anchor="_Toc468884915" w:history="1">
            <w:r w:rsidR="00796831" w:rsidRPr="00E070A3">
              <w:rPr>
                <w:rStyle w:val="Hyperlink"/>
                <w:noProof/>
              </w:rPr>
              <w:t>Summary</w:t>
            </w:r>
            <w:r w:rsidR="00796831">
              <w:rPr>
                <w:noProof/>
                <w:webHidden/>
              </w:rPr>
              <w:tab/>
            </w:r>
            <w:r w:rsidR="00796831">
              <w:rPr>
                <w:noProof/>
                <w:webHidden/>
              </w:rPr>
              <w:fldChar w:fldCharType="begin"/>
            </w:r>
            <w:r w:rsidR="00796831">
              <w:rPr>
                <w:noProof/>
                <w:webHidden/>
              </w:rPr>
              <w:instrText xml:space="preserve"> PAGEREF _Toc468884915 \h </w:instrText>
            </w:r>
            <w:r w:rsidR="00796831">
              <w:rPr>
                <w:noProof/>
                <w:webHidden/>
              </w:rPr>
            </w:r>
            <w:r w:rsidR="00796831">
              <w:rPr>
                <w:noProof/>
                <w:webHidden/>
              </w:rPr>
              <w:fldChar w:fldCharType="separate"/>
            </w:r>
            <w:r w:rsidR="00B71481">
              <w:rPr>
                <w:noProof/>
                <w:webHidden/>
              </w:rPr>
              <w:t>11</w:t>
            </w:r>
            <w:r w:rsidR="00796831">
              <w:rPr>
                <w:noProof/>
                <w:webHidden/>
              </w:rPr>
              <w:fldChar w:fldCharType="end"/>
            </w:r>
          </w:hyperlink>
        </w:p>
        <w:p w14:paraId="06CE1C6F" w14:textId="77777777" w:rsidR="00796831" w:rsidRDefault="009F416D">
          <w:pPr>
            <w:pStyle w:val="TOC2"/>
            <w:tabs>
              <w:tab w:val="right" w:leader="dot" w:pos="9016"/>
            </w:tabs>
            <w:rPr>
              <w:rFonts w:eastAsiaTheme="minorEastAsia"/>
              <w:noProof/>
              <w:lang w:eastAsia="en-AU"/>
            </w:rPr>
          </w:pPr>
          <w:hyperlink w:anchor="_Toc468884916" w:history="1">
            <w:r w:rsidR="00796831" w:rsidRPr="00E070A3">
              <w:rPr>
                <w:rStyle w:val="Hyperlink"/>
                <w:noProof/>
              </w:rPr>
              <w:t>KPI Expectations</w:t>
            </w:r>
            <w:r w:rsidR="00796831">
              <w:rPr>
                <w:noProof/>
                <w:webHidden/>
              </w:rPr>
              <w:tab/>
            </w:r>
            <w:r w:rsidR="00796831">
              <w:rPr>
                <w:noProof/>
                <w:webHidden/>
              </w:rPr>
              <w:fldChar w:fldCharType="begin"/>
            </w:r>
            <w:r w:rsidR="00796831">
              <w:rPr>
                <w:noProof/>
                <w:webHidden/>
              </w:rPr>
              <w:instrText xml:space="preserve"> PAGEREF _Toc468884916 \h </w:instrText>
            </w:r>
            <w:r w:rsidR="00796831">
              <w:rPr>
                <w:noProof/>
                <w:webHidden/>
              </w:rPr>
            </w:r>
            <w:r w:rsidR="00796831">
              <w:rPr>
                <w:noProof/>
                <w:webHidden/>
              </w:rPr>
              <w:fldChar w:fldCharType="separate"/>
            </w:r>
            <w:r w:rsidR="00B71481">
              <w:rPr>
                <w:noProof/>
                <w:webHidden/>
              </w:rPr>
              <w:t>11</w:t>
            </w:r>
            <w:r w:rsidR="00796831">
              <w:rPr>
                <w:noProof/>
                <w:webHidden/>
              </w:rPr>
              <w:fldChar w:fldCharType="end"/>
            </w:r>
          </w:hyperlink>
        </w:p>
        <w:p w14:paraId="2C258938" w14:textId="77777777" w:rsidR="00796831" w:rsidRDefault="009F416D">
          <w:pPr>
            <w:pStyle w:val="TOC2"/>
            <w:tabs>
              <w:tab w:val="right" w:leader="dot" w:pos="9016"/>
            </w:tabs>
            <w:rPr>
              <w:rFonts w:eastAsiaTheme="minorEastAsia"/>
              <w:noProof/>
              <w:lang w:eastAsia="en-AU"/>
            </w:rPr>
          </w:pPr>
          <w:hyperlink w:anchor="_Toc468884917" w:history="1">
            <w:r w:rsidR="00796831" w:rsidRPr="00E070A3">
              <w:rPr>
                <w:rStyle w:val="Hyperlink"/>
                <w:noProof/>
              </w:rPr>
              <w:t>NOPTA’s Approach</w:t>
            </w:r>
            <w:r w:rsidR="00796831">
              <w:rPr>
                <w:noProof/>
                <w:webHidden/>
              </w:rPr>
              <w:tab/>
            </w:r>
            <w:r w:rsidR="00796831">
              <w:rPr>
                <w:noProof/>
                <w:webHidden/>
              </w:rPr>
              <w:fldChar w:fldCharType="begin"/>
            </w:r>
            <w:r w:rsidR="00796831">
              <w:rPr>
                <w:noProof/>
                <w:webHidden/>
              </w:rPr>
              <w:instrText xml:space="preserve"> PAGEREF _Toc468884917 \h </w:instrText>
            </w:r>
            <w:r w:rsidR="00796831">
              <w:rPr>
                <w:noProof/>
                <w:webHidden/>
              </w:rPr>
            </w:r>
            <w:r w:rsidR="00796831">
              <w:rPr>
                <w:noProof/>
                <w:webHidden/>
              </w:rPr>
              <w:fldChar w:fldCharType="separate"/>
            </w:r>
            <w:r w:rsidR="00B71481">
              <w:rPr>
                <w:noProof/>
                <w:webHidden/>
              </w:rPr>
              <w:t>11</w:t>
            </w:r>
            <w:r w:rsidR="00796831">
              <w:rPr>
                <w:noProof/>
                <w:webHidden/>
              </w:rPr>
              <w:fldChar w:fldCharType="end"/>
            </w:r>
          </w:hyperlink>
        </w:p>
        <w:p w14:paraId="370DFA58" w14:textId="77777777" w:rsidR="00796831" w:rsidRDefault="009F416D">
          <w:pPr>
            <w:pStyle w:val="TOC2"/>
            <w:tabs>
              <w:tab w:val="right" w:leader="dot" w:pos="9016"/>
            </w:tabs>
            <w:rPr>
              <w:rFonts w:eastAsiaTheme="minorEastAsia"/>
              <w:noProof/>
              <w:lang w:eastAsia="en-AU"/>
            </w:rPr>
          </w:pPr>
          <w:hyperlink w:anchor="_Toc468884918" w:history="1">
            <w:r w:rsidR="00796831" w:rsidRPr="00E070A3">
              <w:rPr>
                <w:rStyle w:val="Hyperlink"/>
                <w:noProof/>
              </w:rPr>
              <w:t>Results</w:t>
            </w:r>
            <w:r w:rsidR="00796831">
              <w:rPr>
                <w:noProof/>
                <w:webHidden/>
              </w:rPr>
              <w:tab/>
            </w:r>
            <w:r w:rsidR="00796831">
              <w:rPr>
                <w:noProof/>
                <w:webHidden/>
              </w:rPr>
              <w:fldChar w:fldCharType="begin"/>
            </w:r>
            <w:r w:rsidR="00796831">
              <w:rPr>
                <w:noProof/>
                <w:webHidden/>
              </w:rPr>
              <w:instrText xml:space="preserve"> PAGEREF _Toc468884918 \h </w:instrText>
            </w:r>
            <w:r w:rsidR="00796831">
              <w:rPr>
                <w:noProof/>
                <w:webHidden/>
              </w:rPr>
            </w:r>
            <w:r w:rsidR="00796831">
              <w:rPr>
                <w:noProof/>
                <w:webHidden/>
              </w:rPr>
              <w:fldChar w:fldCharType="separate"/>
            </w:r>
            <w:r w:rsidR="00B71481">
              <w:rPr>
                <w:noProof/>
                <w:webHidden/>
              </w:rPr>
              <w:t>11</w:t>
            </w:r>
            <w:r w:rsidR="00796831">
              <w:rPr>
                <w:noProof/>
                <w:webHidden/>
              </w:rPr>
              <w:fldChar w:fldCharType="end"/>
            </w:r>
          </w:hyperlink>
        </w:p>
        <w:p w14:paraId="2E49C302" w14:textId="77777777" w:rsidR="00796831" w:rsidRDefault="009F416D">
          <w:pPr>
            <w:pStyle w:val="TOC2"/>
            <w:tabs>
              <w:tab w:val="right" w:leader="dot" w:pos="9016"/>
            </w:tabs>
            <w:rPr>
              <w:rFonts w:eastAsiaTheme="minorEastAsia"/>
              <w:noProof/>
              <w:lang w:eastAsia="en-AU"/>
            </w:rPr>
          </w:pPr>
          <w:hyperlink w:anchor="_Toc468884919" w:history="1">
            <w:r w:rsidR="00796831" w:rsidRPr="00E070A3">
              <w:rPr>
                <w:rStyle w:val="Hyperlink"/>
                <w:noProof/>
              </w:rPr>
              <w:t>Stakeholder comments</w:t>
            </w:r>
            <w:r w:rsidR="00796831">
              <w:rPr>
                <w:noProof/>
                <w:webHidden/>
              </w:rPr>
              <w:tab/>
            </w:r>
            <w:r w:rsidR="00796831">
              <w:rPr>
                <w:noProof/>
                <w:webHidden/>
              </w:rPr>
              <w:fldChar w:fldCharType="begin"/>
            </w:r>
            <w:r w:rsidR="00796831">
              <w:rPr>
                <w:noProof/>
                <w:webHidden/>
              </w:rPr>
              <w:instrText xml:space="preserve"> PAGEREF _Toc468884919 \h </w:instrText>
            </w:r>
            <w:r w:rsidR="00796831">
              <w:rPr>
                <w:noProof/>
                <w:webHidden/>
              </w:rPr>
            </w:r>
            <w:r w:rsidR="00796831">
              <w:rPr>
                <w:noProof/>
                <w:webHidden/>
              </w:rPr>
              <w:fldChar w:fldCharType="separate"/>
            </w:r>
            <w:r w:rsidR="00B71481">
              <w:rPr>
                <w:noProof/>
                <w:webHidden/>
              </w:rPr>
              <w:t>12</w:t>
            </w:r>
            <w:r w:rsidR="00796831">
              <w:rPr>
                <w:noProof/>
                <w:webHidden/>
              </w:rPr>
              <w:fldChar w:fldCharType="end"/>
            </w:r>
          </w:hyperlink>
        </w:p>
        <w:p w14:paraId="5ECAF0AD" w14:textId="77777777" w:rsidR="00796831" w:rsidRDefault="009F416D">
          <w:pPr>
            <w:pStyle w:val="TOC2"/>
            <w:tabs>
              <w:tab w:val="right" w:leader="dot" w:pos="9016"/>
            </w:tabs>
            <w:rPr>
              <w:rFonts w:eastAsiaTheme="minorEastAsia"/>
              <w:noProof/>
              <w:lang w:eastAsia="en-AU"/>
            </w:rPr>
          </w:pPr>
          <w:hyperlink w:anchor="_Toc468884920" w:history="1">
            <w:r w:rsidR="00796831" w:rsidRPr="00E070A3">
              <w:rPr>
                <w:rStyle w:val="Hyperlink"/>
                <w:b/>
                <w:noProof/>
              </w:rPr>
              <w:t>KPI 3: Actions undertaken by regulators are proportionate to the regulatory risk being managed</w:t>
            </w:r>
            <w:r w:rsidR="00796831">
              <w:rPr>
                <w:noProof/>
                <w:webHidden/>
              </w:rPr>
              <w:tab/>
            </w:r>
            <w:r w:rsidR="00796831">
              <w:rPr>
                <w:noProof/>
                <w:webHidden/>
              </w:rPr>
              <w:fldChar w:fldCharType="begin"/>
            </w:r>
            <w:r w:rsidR="00796831">
              <w:rPr>
                <w:noProof/>
                <w:webHidden/>
              </w:rPr>
              <w:instrText xml:space="preserve"> PAGEREF _Toc468884920 \h </w:instrText>
            </w:r>
            <w:r w:rsidR="00796831">
              <w:rPr>
                <w:noProof/>
                <w:webHidden/>
              </w:rPr>
            </w:r>
            <w:r w:rsidR="00796831">
              <w:rPr>
                <w:noProof/>
                <w:webHidden/>
              </w:rPr>
              <w:fldChar w:fldCharType="separate"/>
            </w:r>
            <w:r w:rsidR="00B71481">
              <w:rPr>
                <w:noProof/>
                <w:webHidden/>
              </w:rPr>
              <w:t>14</w:t>
            </w:r>
            <w:r w:rsidR="00796831">
              <w:rPr>
                <w:noProof/>
                <w:webHidden/>
              </w:rPr>
              <w:fldChar w:fldCharType="end"/>
            </w:r>
          </w:hyperlink>
        </w:p>
        <w:p w14:paraId="2A800B98" w14:textId="77777777" w:rsidR="00796831" w:rsidRDefault="009F416D">
          <w:pPr>
            <w:pStyle w:val="TOC2"/>
            <w:tabs>
              <w:tab w:val="right" w:leader="dot" w:pos="9016"/>
            </w:tabs>
            <w:rPr>
              <w:rFonts w:eastAsiaTheme="minorEastAsia"/>
              <w:noProof/>
              <w:lang w:eastAsia="en-AU"/>
            </w:rPr>
          </w:pPr>
          <w:hyperlink w:anchor="_Toc468884921" w:history="1">
            <w:r w:rsidR="00796831" w:rsidRPr="00E070A3">
              <w:rPr>
                <w:rStyle w:val="Hyperlink"/>
                <w:noProof/>
              </w:rPr>
              <w:t>Summary</w:t>
            </w:r>
            <w:r w:rsidR="00796831">
              <w:rPr>
                <w:noProof/>
                <w:webHidden/>
              </w:rPr>
              <w:tab/>
            </w:r>
            <w:r w:rsidR="00796831">
              <w:rPr>
                <w:noProof/>
                <w:webHidden/>
              </w:rPr>
              <w:fldChar w:fldCharType="begin"/>
            </w:r>
            <w:r w:rsidR="00796831">
              <w:rPr>
                <w:noProof/>
                <w:webHidden/>
              </w:rPr>
              <w:instrText xml:space="preserve"> PAGEREF _Toc468884921 \h </w:instrText>
            </w:r>
            <w:r w:rsidR="00796831">
              <w:rPr>
                <w:noProof/>
                <w:webHidden/>
              </w:rPr>
            </w:r>
            <w:r w:rsidR="00796831">
              <w:rPr>
                <w:noProof/>
                <w:webHidden/>
              </w:rPr>
              <w:fldChar w:fldCharType="separate"/>
            </w:r>
            <w:r w:rsidR="00B71481">
              <w:rPr>
                <w:noProof/>
                <w:webHidden/>
              </w:rPr>
              <w:t>14</w:t>
            </w:r>
            <w:r w:rsidR="00796831">
              <w:rPr>
                <w:noProof/>
                <w:webHidden/>
              </w:rPr>
              <w:fldChar w:fldCharType="end"/>
            </w:r>
          </w:hyperlink>
        </w:p>
        <w:p w14:paraId="0D498B88" w14:textId="77777777" w:rsidR="00796831" w:rsidRDefault="009F416D">
          <w:pPr>
            <w:pStyle w:val="TOC2"/>
            <w:tabs>
              <w:tab w:val="right" w:leader="dot" w:pos="9016"/>
            </w:tabs>
            <w:rPr>
              <w:rFonts w:eastAsiaTheme="minorEastAsia"/>
              <w:noProof/>
              <w:lang w:eastAsia="en-AU"/>
            </w:rPr>
          </w:pPr>
          <w:hyperlink w:anchor="_Toc468884922" w:history="1">
            <w:r w:rsidR="00796831" w:rsidRPr="00E070A3">
              <w:rPr>
                <w:rStyle w:val="Hyperlink"/>
                <w:noProof/>
              </w:rPr>
              <w:t>KPI Expectations</w:t>
            </w:r>
            <w:r w:rsidR="00796831">
              <w:rPr>
                <w:noProof/>
                <w:webHidden/>
              </w:rPr>
              <w:tab/>
            </w:r>
            <w:r w:rsidR="00796831">
              <w:rPr>
                <w:noProof/>
                <w:webHidden/>
              </w:rPr>
              <w:fldChar w:fldCharType="begin"/>
            </w:r>
            <w:r w:rsidR="00796831">
              <w:rPr>
                <w:noProof/>
                <w:webHidden/>
              </w:rPr>
              <w:instrText xml:space="preserve"> PAGEREF _Toc468884922 \h </w:instrText>
            </w:r>
            <w:r w:rsidR="00796831">
              <w:rPr>
                <w:noProof/>
                <w:webHidden/>
              </w:rPr>
            </w:r>
            <w:r w:rsidR="00796831">
              <w:rPr>
                <w:noProof/>
                <w:webHidden/>
              </w:rPr>
              <w:fldChar w:fldCharType="separate"/>
            </w:r>
            <w:r w:rsidR="00B71481">
              <w:rPr>
                <w:noProof/>
                <w:webHidden/>
              </w:rPr>
              <w:t>14</w:t>
            </w:r>
            <w:r w:rsidR="00796831">
              <w:rPr>
                <w:noProof/>
                <w:webHidden/>
              </w:rPr>
              <w:fldChar w:fldCharType="end"/>
            </w:r>
          </w:hyperlink>
        </w:p>
        <w:p w14:paraId="597A948E" w14:textId="77777777" w:rsidR="00796831" w:rsidRDefault="009F416D">
          <w:pPr>
            <w:pStyle w:val="TOC2"/>
            <w:tabs>
              <w:tab w:val="right" w:leader="dot" w:pos="9016"/>
            </w:tabs>
            <w:rPr>
              <w:rFonts w:eastAsiaTheme="minorEastAsia"/>
              <w:noProof/>
              <w:lang w:eastAsia="en-AU"/>
            </w:rPr>
          </w:pPr>
          <w:hyperlink w:anchor="_Toc468884923" w:history="1">
            <w:r w:rsidR="00796831" w:rsidRPr="00E070A3">
              <w:rPr>
                <w:rStyle w:val="Hyperlink"/>
                <w:noProof/>
              </w:rPr>
              <w:t>NOPTA’s Approach</w:t>
            </w:r>
            <w:r w:rsidR="00796831">
              <w:rPr>
                <w:noProof/>
                <w:webHidden/>
              </w:rPr>
              <w:tab/>
            </w:r>
            <w:r w:rsidR="00796831">
              <w:rPr>
                <w:noProof/>
                <w:webHidden/>
              </w:rPr>
              <w:fldChar w:fldCharType="begin"/>
            </w:r>
            <w:r w:rsidR="00796831">
              <w:rPr>
                <w:noProof/>
                <w:webHidden/>
              </w:rPr>
              <w:instrText xml:space="preserve"> PAGEREF _Toc468884923 \h </w:instrText>
            </w:r>
            <w:r w:rsidR="00796831">
              <w:rPr>
                <w:noProof/>
                <w:webHidden/>
              </w:rPr>
            </w:r>
            <w:r w:rsidR="00796831">
              <w:rPr>
                <w:noProof/>
                <w:webHidden/>
              </w:rPr>
              <w:fldChar w:fldCharType="separate"/>
            </w:r>
            <w:r w:rsidR="00B71481">
              <w:rPr>
                <w:noProof/>
                <w:webHidden/>
              </w:rPr>
              <w:t>14</w:t>
            </w:r>
            <w:r w:rsidR="00796831">
              <w:rPr>
                <w:noProof/>
                <w:webHidden/>
              </w:rPr>
              <w:fldChar w:fldCharType="end"/>
            </w:r>
          </w:hyperlink>
        </w:p>
        <w:p w14:paraId="4EA1F59C" w14:textId="77777777" w:rsidR="00796831" w:rsidRDefault="009F416D">
          <w:pPr>
            <w:pStyle w:val="TOC2"/>
            <w:tabs>
              <w:tab w:val="right" w:leader="dot" w:pos="9016"/>
            </w:tabs>
            <w:rPr>
              <w:rFonts w:eastAsiaTheme="minorEastAsia"/>
              <w:noProof/>
              <w:lang w:eastAsia="en-AU"/>
            </w:rPr>
          </w:pPr>
          <w:hyperlink w:anchor="_Toc468884924" w:history="1">
            <w:r w:rsidR="00796831" w:rsidRPr="00E070A3">
              <w:rPr>
                <w:rStyle w:val="Hyperlink"/>
                <w:noProof/>
              </w:rPr>
              <w:t>Results</w:t>
            </w:r>
            <w:r w:rsidR="00796831">
              <w:rPr>
                <w:noProof/>
                <w:webHidden/>
              </w:rPr>
              <w:tab/>
            </w:r>
            <w:r w:rsidR="00796831">
              <w:rPr>
                <w:noProof/>
                <w:webHidden/>
              </w:rPr>
              <w:fldChar w:fldCharType="begin"/>
            </w:r>
            <w:r w:rsidR="00796831">
              <w:rPr>
                <w:noProof/>
                <w:webHidden/>
              </w:rPr>
              <w:instrText xml:space="preserve"> PAGEREF _Toc468884924 \h </w:instrText>
            </w:r>
            <w:r w:rsidR="00796831">
              <w:rPr>
                <w:noProof/>
                <w:webHidden/>
              </w:rPr>
            </w:r>
            <w:r w:rsidR="00796831">
              <w:rPr>
                <w:noProof/>
                <w:webHidden/>
              </w:rPr>
              <w:fldChar w:fldCharType="separate"/>
            </w:r>
            <w:r w:rsidR="00B71481">
              <w:rPr>
                <w:noProof/>
                <w:webHidden/>
              </w:rPr>
              <w:t>14</w:t>
            </w:r>
            <w:r w:rsidR="00796831">
              <w:rPr>
                <w:noProof/>
                <w:webHidden/>
              </w:rPr>
              <w:fldChar w:fldCharType="end"/>
            </w:r>
          </w:hyperlink>
        </w:p>
        <w:p w14:paraId="36583C56" w14:textId="77777777" w:rsidR="00796831" w:rsidRDefault="009F416D">
          <w:pPr>
            <w:pStyle w:val="TOC2"/>
            <w:tabs>
              <w:tab w:val="right" w:leader="dot" w:pos="9016"/>
            </w:tabs>
            <w:rPr>
              <w:rFonts w:eastAsiaTheme="minorEastAsia"/>
              <w:noProof/>
              <w:lang w:eastAsia="en-AU"/>
            </w:rPr>
          </w:pPr>
          <w:hyperlink w:anchor="_Toc468884925" w:history="1">
            <w:r w:rsidR="00796831" w:rsidRPr="00E070A3">
              <w:rPr>
                <w:rStyle w:val="Hyperlink"/>
                <w:noProof/>
              </w:rPr>
              <w:t>Stakeholder comments</w:t>
            </w:r>
            <w:r w:rsidR="00796831">
              <w:rPr>
                <w:noProof/>
                <w:webHidden/>
              </w:rPr>
              <w:tab/>
            </w:r>
            <w:r w:rsidR="00796831">
              <w:rPr>
                <w:noProof/>
                <w:webHidden/>
              </w:rPr>
              <w:fldChar w:fldCharType="begin"/>
            </w:r>
            <w:r w:rsidR="00796831">
              <w:rPr>
                <w:noProof/>
                <w:webHidden/>
              </w:rPr>
              <w:instrText xml:space="preserve"> PAGEREF _Toc468884925 \h </w:instrText>
            </w:r>
            <w:r w:rsidR="00796831">
              <w:rPr>
                <w:noProof/>
                <w:webHidden/>
              </w:rPr>
            </w:r>
            <w:r w:rsidR="00796831">
              <w:rPr>
                <w:noProof/>
                <w:webHidden/>
              </w:rPr>
              <w:fldChar w:fldCharType="separate"/>
            </w:r>
            <w:r w:rsidR="00B71481">
              <w:rPr>
                <w:noProof/>
                <w:webHidden/>
              </w:rPr>
              <w:t>15</w:t>
            </w:r>
            <w:r w:rsidR="00796831">
              <w:rPr>
                <w:noProof/>
                <w:webHidden/>
              </w:rPr>
              <w:fldChar w:fldCharType="end"/>
            </w:r>
          </w:hyperlink>
        </w:p>
        <w:p w14:paraId="720F80D6" w14:textId="77777777" w:rsidR="00796831" w:rsidRDefault="009F416D">
          <w:pPr>
            <w:pStyle w:val="TOC2"/>
            <w:tabs>
              <w:tab w:val="right" w:leader="dot" w:pos="9016"/>
            </w:tabs>
            <w:rPr>
              <w:rFonts w:eastAsiaTheme="minorEastAsia"/>
              <w:noProof/>
              <w:lang w:eastAsia="en-AU"/>
            </w:rPr>
          </w:pPr>
          <w:hyperlink w:anchor="_Toc468884926" w:history="1">
            <w:r w:rsidR="00796831" w:rsidRPr="00E070A3">
              <w:rPr>
                <w:rStyle w:val="Hyperlink"/>
                <w:b/>
                <w:noProof/>
              </w:rPr>
              <w:t>KPI 4: Compliance and monitoring approaches are streamlined and coordinated</w:t>
            </w:r>
            <w:r w:rsidR="00796831">
              <w:rPr>
                <w:noProof/>
                <w:webHidden/>
              </w:rPr>
              <w:tab/>
            </w:r>
            <w:r w:rsidR="00796831">
              <w:rPr>
                <w:noProof/>
                <w:webHidden/>
              </w:rPr>
              <w:fldChar w:fldCharType="begin"/>
            </w:r>
            <w:r w:rsidR="00796831">
              <w:rPr>
                <w:noProof/>
                <w:webHidden/>
              </w:rPr>
              <w:instrText xml:space="preserve"> PAGEREF _Toc468884926 \h </w:instrText>
            </w:r>
            <w:r w:rsidR="00796831">
              <w:rPr>
                <w:noProof/>
                <w:webHidden/>
              </w:rPr>
            </w:r>
            <w:r w:rsidR="00796831">
              <w:rPr>
                <w:noProof/>
                <w:webHidden/>
              </w:rPr>
              <w:fldChar w:fldCharType="separate"/>
            </w:r>
            <w:r w:rsidR="00B71481">
              <w:rPr>
                <w:noProof/>
                <w:webHidden/>
              </w:rPr>
              <w:t>16</w:t>
            </w:r>
            <w:r w:rsidR="00796831">
              <w:rPr>
                <w:noProof/>
                <w:webHidden/>
              </w:rPr>
              <w:fldChar w:fldCharType="end"/>
            </w:r>
          </w:hyperlink>
        </w:p>
        <w:p w14:paraId="57CE8A87" w14:textId="77777777" w:rsidR="00796831" w:rsidRDefault="009F416D">
          <w:pPr>
            <w:pStyle w:val="TOC2"/>
            <w:tabs>
              <w:tab w:val="right" w:leader="dot" w:pos="9016"/>
            </w:tabs>
            <w:rPr>
              <w:rFonts w:eastAsiaTheme="minorEastAsia"/>
              <w:noProof/>
              <w:lang w:eastAsia="en-AU"/>
            </w:rPr>
          </w:pPr>
          <w:hyperlink w:anchor="_Toc468884927" w:history="1">
            <w:r w:rsidR="00796831" w:rsidRPr="00E070A3">
              <w:rPr>
                <w:rStyle w:val="Hyperlink"/>
                <w:noProof/>
              </w:rPr>
              <w:t>Summary</w:t>
            </w:r>
            <w:r w:rsidR="00796831">
              <w:rPr>
                <w:noProof/>
                <w:webHidden/>
              </w:rPr>
              <w:tab/>
            </w:r>
            <w:r w:rsidR="00796831">
              <w:rPr>
                <w:noProof/>
                <w:webHidden/>
              </w:rPr>
              <w:fldChar w:fldCharType="begin"/>
            </w:r>
            <w:r w:rsidR="00796831">
              <w:rPr>
                <w:noProof/>
                <w:webHidden/>
              </w:rPr>
              <w:instrText xml:space="preserve"> PAGEREF _Toc468884927 \h </w:instrText>
            </w:r>
            <w:r w:rsidR="00796831">
              <w:rPr>
                <w:noProof/>
                <w:webHidden/>
              </w:rPr>
            </w:r>
            <w:r w:rsidR="00796831">
              <w:rPr>
                <w:noProof/>
                <w:webHidden/>
              </w:rPr>
              <w:fldChar w:fldCharType="separate"/>
            </w:r>
            <w:r w:rsidR="00B71481">
              <w:rPr>
                <w:noProof/>
                <w:webHidden/>
              </w:rPr>
              <w:t>16</w:t>
            </w:r>
            <w:r w:rsidR="00796831">
              <w:rPr>
                <w:noProof/>
                <w:webHidden/>
              </w:rPr>
              <w:fldChar w:fldCharType="end"/>
            </w:r>
          </w:hyperlink>
        </w:p>
        <w:p w14:paraId="29A52F64" w14:textId="77777777" w:rsidR="00796831" w:rsidRDefault="009F416D">
          <w:pPr>
            <w:pStyle w:val="TOC2"/>
            <w:tabs>
              <w:tab w:val="right" w:leader="dot" w:pos="9016"/>
            </w:tabs>
            <w:rPr>
              <w:rFonts w:eastAsiaTheme="minorEastAsia"/>
              <w:noProof/>
              <w:lang w:eastAsia="en-AU"/>
            </w:rPr>
          </w:pPr>
          <w:hyperlink w:anchor="_Toc468884928" w:history="1">
            <w:r w:rsidR="00796831" w:rsidRPr="00E070A3">
              <w:rPr>
                <w:rStyle w:val="Hyperlink"/>
                <w:noProof/>
              </w:rPr>
              <w:t>KPI Expectations</w:t>
            </w:r>
            <w:r w:rsidR="00796831">
              <w:rPr>
                <w:noProof/>
                <w:webHidden/>
              </w:rPr>
              <w:tab/>
            </w:r>
            <w:r w:rsidR="00796831">
              <w:rPr>
                <w:noProof/>
                <w:webHidden/>
              </w:rPr>
              <w:fldChar w:fldCharType="begin"/>
            </w:r>
            <w:r w:rsidR="00796831">
              <w:rPr>
                <w:noProof/>
                <w:webHidden/>
              </w:rPr>
              <w:instrText xml:space="preserve"> PAGEREF _Toc468884928 \h </w:instrText>
            </w:r>
            <w:r w:rsidR="00796831">
              <w:rPr>
                <w:noProof/>
                <w:webHidden/>
              </w:rPr>
            </w:r>
            <w:r w:rsidR="00796831">
              <w:rPr>
                <w:noProof/>
                <w:webHidden/>
              </w:rPr>
              <w:fldChar w:fldCharType="separate"/>
            </w:r>
            <w:r w:rsidR="00B71481">
              <w:rPr>
                <w:noProof/>
                <w:webHidden/>
              </w:rPr>
              <w:t>16</w:t>
            </w:r>
            <w:r w:rsidR="00796831">
              <w:rPr>
                <w:noProof/>
                <w:webHidden/>
              </w:rPr>
              <w:fldChar w:fldCharType="end"/>
            </w:r>
          </w:hyperlink>
        </w:p>
        <w:p w14:paraId="4117DAB5" w14:textId="77777777" w:rsidR="00796831" w:rsidRDefault="009F416D">
          <w:pPr>
            <w:pStyle w:val="TOC2"/>
            <w:tabs>
              <w:tab w:val="right" w:leader="dot" w:pos="9016"/>
            </w:tabs>
            <w:rPr>
              <w:rFonts w:eastAsiaTheme="minorEastAsia"/>
              <w:noProof/>
              <w:lang w:eastAsia="en-AU"/>
            </w:rPr>
          </w:pPr>
          <w:hyperlink w:anchor="_Toc468884929" w:history="1">
            <w:r w:rsidR="00796831" w:rsidRPr="00E070A3">
              <w:rPr>
                <w:rStyle w:val="Hyperlink"/>
                <w:noProof/>
              </w:rPr>
              <w:t>NOPTA’s Approach</w:t>
            </w:r>
            <w:r w:rsidR="00796831">
              <w:rPr>
                <w:noProof/>
                <w:webHidden/>
              </w:rPr>
              <w:tab/>
            </w:r>
            <w:r w:rsidR="00796831">
              <w:rPr>
                <w:noProof/>
                <w:webHidden/>
              </w:rPr>
              <w:fldChar w:fldCharType="begin"/>
            </w:r>
            <w:r w:rsidR="00796831">
              <w:rPr>
                <w:noProof/>
                <w:webHidden/>
              </w:rPr>
              <w:instrText xml:space="preserve"> PAGEREF _Toc468884929 \h </w:instrText>
            </w:r>
            <w:r w:rsidR="00796831">
              <w:rPr>
                <w:noProof/>
                <w:webHidden/>
              </w:rPr>
            </w:r>
            <w:r w:rsidR="00796831">
              <w:rPr>
                <w:noProof/>
                <w:webHidden/>
              </w:rPr>
              <w:fldChar w:fldCharType="separate"/>
            </w:r>
            <w:r w:rsidR="00B71481">
              <w:rPr>
                <w:noProof/>
                <w:webHidden/>
              </w:rPr>
              <w:t>16</w:t>
            </w:r>
            <w:r w:rsidR="00796831">
              <w:rPr>
                <w:noProof/>
                <w:webHidden/>
              </w:rPr>
              <w:fldChar w:fldCharType="end"/>
            </w:r>
          </w:hyperlink>
        </w:p>
        <w:p w14:paraId="4B2E2141" w14:textId="77777777" w:rsidR="00796831" w:rsidRDefault="009F416D">
          <w:pPr>
            <w:pStyle w:val="TOC2"/>
            <w:tabs>
              <w:tab w:val="right" w:leader="dot" w:pos="9016"/>
            </w:tabs>
            <w:rPr>
              <w:rFonts w:eastAsiaTheme="minorEastAsia"/>
              <w:noProof/>
              <w:lang w:eastAsia="en-AU"/>
            </w:rPr>
          </w:pPr>
          <w:hyperlink w:anchor="_Toc468884930" w:history="1">
            <w:r w:rsidR="00796831" w:rsidRPr="00E070A3">
              <w:rPr>
                <w:rStyle w:val="Hyperlink"/>
                <w:noProof/>
              </w:rPr>
              <w:t>Results</w:t>
            </w:r>
            <w:r w:rsidR="00796831">
              <w:rPr>
                <w:noProof/>
                <w:webHidden/>
              </w:rPr>
              <w:tab/>
            </w:r>
            <w:r w:rsidR="00796831">
              <w:rPr>
                <w:noProof/>
                <w:webHidden/>
              </w:rPr>
              <w:fldChar w:fldCharType="begin"/>
            </w:r>
            <w:r w:rsidR="00796831">
              <w:rPr>
                <w:noProof/>
                <w:webHidden/>
              </w:rPr>
              <w:instrText xml:space="preserve"> PAGEREF _Toc468884930 \h </w:instrText>
            </w:r>
            <w:r w:rsidR="00796831">
              <w:rPr>
                <w:noProof/>
                <w:webHidden/>
              </w:rPr>
            </w:r>
            <w:r w:rsidR="00796831">
              <w:rPr>
                <w:noProof/>
                <w:webHidden/>
              </w:rPr>
              <w:fldChar w:fldCharType="separate"/>
            </w:r>
            <w:r w:rsidR="00B71481">
              <w:rPr>
                <w:noProof/>
                <w:webHidden/>
              </w:rPr>
              <w:t>16</w:t>
            </w:r>
            <w:r w:rsidR="00796831">
              <w:rPr>
                <w:noProof/>
                <w:webHidden/>
              </w:rPr>
              <w:fldChar w:fldCharType="end"/>
            </w:r>
          </w:hyperlink>
        </w:p>
        <w:p w14:paraId="43BE89BD" w14:textId="77777777" w:rsidR="00796831" w:rsidRDefault="009F416D">
          <w:pPr>
            <w:pStyle w:val="TOC2"/>
            <w:tabs>
              <w:tab w:val="right" w:leader="dot" w:pos="9016"/>
            </w:tabs>
            <w:rPr>
              <w:rFonts w:eastAsiaTheme="minorEastAsia"/>
              <w:noProof/>
              <w:lang w:eastAsia="en-AU"/>
            </w:rPr>
          </w:pPr>
          <w:hyperlink w:anchor="_Toc468884931" w:history="1">
            <w:r w:rsidR="00796831" w:rsidRPr="00E070A3">
              <w:rPr>
                <w:rStyle w:val="Hyperlink"/>
                <w:noProof/>
              </w:rPr>
              <w:t>Stakeholder comments</w:t>
            </w:r>
            <w:r w:rsidR="00796831">
              <w:rPr>
                <w:noProof/>
                <w:webHidden/>
              </w:rPr>
              <w:tab/>
            </w:r>
            <w:r w:rsidR="00796831">
              <w:rPr>
                <w:noProof/>
                <w:webHidden/>
              </w:rPr>
              <w:fldChar w:fldCharType="begin"/>
            </w:r>
            <w:r w:rsidR="00796831">
              <w:rPr>
                <w:noProof/>
                <w:webHidden/>
              </w:rPr>
              <w:instrText xml:space="preserve"> PAGEREF _Toc468884931 \h </w:instrText>
            </w:r>
            <w:r w:rsidR="00796831">
              <w:rPr>
                <w:noProof/>
                <w:webHidden/>
              </w:rPr>
            </w:r>
            <w:r w:rsidR="00796831">
              <w:rPr>
                <w:noProof/>
                <w:webHidden/>
              </w:rPr>
              <w:fldChar w:fldCharType="separate"/>
            </w:r>
            <w:r w:rsidR="00B71481">
              <w:rPr>
                <w:noProof/>
                <w:webHidden/>
              </w:rPr>
              <w:t>17</w:t>
            </w:r>
            <w:r w:rsidR="00796831">
              <w:rPr>
                <w:noProof/>
                <w:webHidden/>
              </w:rPr>
              <w:fldChar w:fldCharType="end"/>
            </w:r>
          </w:hyperlink>
        </w:p>
        <w:p w14:paraId="7FB6EA4D" w14:textId="77777777" w:rsidR="00796831" w:rsidRDefault="009F416D">
          <w:pPr>
            <w:pStyle w:val="TOC2"/>
            <w:tabs>
              <w:tab w:val="right" w:leader="dot" w:pos="9016"/>
            </w:tabs>
            <w:rPr>
              <w:rFonts w:eastAsiaTheme="minorEastAsia"/>
              <w:noProof/>
              <w:lang w:eastAsia="en-AU"/>
            </w:rPr>
          </w:pPr>
          <w:hyperlink w:anchor="_Toc468884932" w:history="1">
            <w:r w:rsidR="00796831" w:rsidRPr="00E070A3">
              <w:rPr>
                <w:rStyle w:val="Hyperlink"/>
                <w:b/>
                <w:noProof/>
              </w:rPr>
              <w:t>KPI 5: Regulators are open and transparent in their dealings with regulated entities</w:t>
            </w:r>
            <w:r w:rsidR="00796831">
              <w:rPr>
                <w:noProof/>
                <w:webHidden/>
              </w:rPr>
              <w:tab/>
            </w:r>
            <w:r w:rsidR="00796831">
              <w:rPr>
                <w:noProof/>
                <w:webHidden/>
              </w:rPr>
              <w:fldChar w:fldCharType="begin"/>
            </w:r>
            <w:r w:rsidR="00796831">
              <w:rPr>
                <w:noProof/>
                <w:webHidden/>
              </w:rPr>
              <w:instrText xml:space="preserve"> PAGEREF _Toc468884932 \h </w:instrText>
            </w:r>
            <w:r w:rsidR="00796831">
              <w:rPr>
                <w:noProof/>
                <w:webHidden/>
              </w:rPr>
            </w:r>
            <w:r w:rsidR="00796831">
              <w:rPr>
                <w:noProof/>
                <w:webHidden/>
              </w:rPr>
              <w:fldChar w:fldCharType="separate"/>
            </w:r>
            <w:r w:rsidR="00B71481">
              <w:rPr>
                <w:noProof/>
                <w:webHidden/>
              </w:rPr>
              <w:t>18</w:t>
            </w:r>
            <w:r w:rsidR="00796831">
              <w:rPr>
                <w:noProof/>
                <w:webHidden/>
              </w:rPr>
              <w:fldChar w:fldCharType="end"/>
            </w:r>
          </w:hyperlink>
        </w:p>
        <w:p w14:paraId="27479997" w14:textId="77777777" w:rsidR="00796831" w:rsidRDefault="009F416D">
          <w:pPr>
            <w:pStyle w:val="TOC2"/>
            <w:tabs>
              <w:tab w:val="right" w:leader="dot" w:pos="9016"/>
            </w:tabs>
            <w:rPr>
              <w:rFonts w:eastAsiaTheme="minorEastAsia"/>
              <w:noProof/>
              <w:lang w:eastAsia="en-AU"/>
            </w:rPr>
          </w:pPr>
          <w:hyperlink w:anchor="_Toc468884933" w:history="1">
            <w:r w:rsidR="00796831" w:rsidRPr="00E070A3">
              <w:rPr>
                <w:rStyle w:val="Hyperlink"/>
                <w:noProof/>
              </w:rPr>
              <w:t>Summary</w:t>
            </w:r>
            <w:r w:rsidR="00796831">
              <w:rPr>
                <w:noProof/>
                <w:webHidden/>
              </w:rPr>
              <w:tab/>
            </w:r>
            <w:r w:rsidR="00796831">
              <w:rPr>
                <w:noProof/>
                <w:webHidden/>
              </w:rPr>
              <w:fldChar w:fldCharType="begin"/>
            </w:r>
            <w:r w:rsidR="00796831">
              <w:rPr>
                <w:noProof/>
                <w:webHidden/>
              </w:rPr>
              <w:instrText xml:space="preserve"> PAGEREF _Toc468884933 \h </w:instrText>
            </w:r>
            <w:r w:rsidR="00796831">
              <w:rPr>
                <w:noProof/>
                <w:webHidden/>
              </w:rPr>
            </w:r>
            <w:r w:rsidR="00796831">
              <w:rPr>
                <w:noProof/>
                <w:webHidden/>
              </w:rPr>
              <w:fldChar w:fldCharType="separate"/>
            </w:r>
            <w:r w:rsidR="00B71481">
              <w:rPr>
                <w:noProof/>
                <w:webHidden/>
              </w:rPr>
              <w:t>18</w:t>
            </w:r>
            <w:r w:rsidR="00796831">
              <w:rPr>
                <w:noProof/>
                <w:webHidden/>
              </w:rPr>
              <w:fldChar w:fldCharType="end"/>
            </w:r>
          </w:hyperlink>
        </w:p>
        <w:p w14:paraId="00DBF506" w14:textId="77777777" w:rsidR="00796831" w:rsidRDefault="009F416D">
          <w:pPr>
            <w:pStyle w:val="TOC2"/>
            <w:tabs>
              <w:tab w:val="right" w:leader="dot" w:pos="9016"/>
            </w:tabs>
            <w:rPr>
              <w:rFonts w:eastAsiaTheme="minorEastAsia"/>
              <w:noProof/>
              <w:lang w:eastAsia="en-AU"/>
            </w:rPr>
          </w:pPr>
          <w:hyperlink w:anchor="_Toc468884934" w:history="1">
            <w:r w:rsidR="00796831" w:rsidRPr="00E070A3">
              <w:rPr>
                <w:rStyle w:val="Hyperlink"/>
                <w:noProof/>
              </w:rPr>
              <w:t>KPI Expectations</w:t>
            </w:r>
            <w:r w:rsidR="00796831">
              <w:rPr>
                <w:noProof/>
                <w:webHidden/>
              </w:rPr>
              <w:tab/>
            </w:r>
            <w:r w:rsidR="00796831">
              <w:rPr>
                <w:noProof/>
                <w:webHidden/>
              </w:rPr>
              <w:fldChar w:fldCharType="begin"/>
            </w:r>
            <w:r w:rsidR="00796831">
              <w:rPr>
                <w:noProof/>
                <w:webHidden/>
              </w:rPr>
              <w:instrText xml:space="preserve"> PAGEREF _Toc468884934 \h </w:instrText>
            </w:r>
            <w:r w:rsidR="00796831">
              <w:rPr>
                <w:noProof/>
                <w:webHidden/>
              </w:rPr>
            </w:r>
            <w:r w:rsidR="00796831">
              <w:rPr>
                <w:noProof/>
                <w:webHidden/>
              </w:rPr>
              <w:fldChar w:fldCharType="separate"/>
            </w:r>
            <w:r w:rsidR="00B71481">
              <w:rPr>
                <w:noProof/>
                <w:webHidden/>
              </w:rPr>
              <w:t>18</w:t>
            </w:r>
            <w:r w:rsidR="00796831">
              <w:rPr>
                <w:noProof/>
                <w:webHidden/>
              </w:rPr>
              <w:fldChar w:fldCharType="end"/>
            </w:r>
          </w:hyperlink>
        </w:p>
        <w:p w14:paraId="11539F61" w14:textId="77777777" w:rsidR="00796831" w:rsidRDefault="009F416D">
          <w:pPr>
            <w:pStyle w:val="TOC2"/>
            <w:tabs>
              <w:tab w:val="right" w:leader="dot" w:pos="9016"/>
            </w:tabs>
            <w:rPr>
              <w:rFonts w:eastAsiaTheme="minorEastAsia"/>
              <w:noProof/>
              <w:lang w:eastAsia="en-AU"/>
            </w:rPr>
          </w:pPr>
          <w:hyperlink w:anchor="_Toc468884935" w:history="1">
            <w:r w:rsidR="00796831" w:rsidRPr="00E070A3">
              <w:rPr>
                <w:rStyle w:val="Hyperlink"/>
                <w:noProof/>
              </w:rPr>
              <w:t>NOPTA’s Approach</w:t>
            </w:r>
            <w:r w:rsidR="00796831">
              <w:rPr>
                <w:noProof/>
                <w:webHidden/>
              </w:rPr>
              <w:tab/>
            </w:r>
            <w:r w:rsidR="00796831">
              <w:rPr>
                <w:noProof/>
                <w:webHidden/>
              </w:rPr>
              <w:fldChar w:fldCharType="begin"/>
            </w:r>
            <w:r w:rsidR="00796831">
              <w:rPr>
                <w:noProof/>
                <w:webHidden/>
              </w:rPr>
              <w:instrText xml:space="preserve"> PAGEREF _Toc468884935 \h </w:instrText>
            </w:r>
            <w:r w:rsidR="00796831">
              <w:rPr>
                <w:noProof/>
                <w:webHidden/>
              </w:rPr>
            </w:r>
            <w:r w:rsidR="00796831">
              <w:rPr>
                <w:noProof/>
                <w:webHidden/>
              </w:rPr>
              <w:fldChar w:fldCharType="separate"/>
            </w:r>
            <w:r w:rsidR="00B71481">
              <w:rPr>
                <w:noProof/>
                <w:webHidden/>
              </w:rPr>
              <w:t>18</w:t>
            </w:r>
            <w:r w:rsidR="00796831">
              <w:rPr>
                <w:noProof/>
                <w:webHidden/>
              </w:rPr>
              <w:fldChar w:fldCharType="end"/>
            </w:r>
          </w:hyperlink>
        </w:p>
        <w:p w14:paraId="5016088E" w14:textId="77777777" w:rsidR="00796831" w:rsidRDefault="009F416D">
          <w:pPr>
            <w:pStyle w:val="TOC2"/>
            <w:tabs>
              <w:tab w:val="right" w:leader="dot" w:pos="9016"/>
            </w:tabs>
            <w:rPr>
              <w:rFonts w:eastAsiaTheme="minorEastAsia"/>
              <w:noProof/>
              <w:lang w:eastAsia="en-AU"/>
            </w:rPr>
          </w:pPr>
          <w:hyperlink w:anchor="_Toc468884936" w:history="1">
            <w:r w:rsidR="00796831" w:rsidRPr="00E070A3">
              <w:rPr>
                <w:rStyle w:val="Hyperlink"/>
                <w:noProof/>
              </w:rPr>
              <w:t>Results</w:t>
            </w:r>
            <w:r w:rsidR="00796831">
              <w:rPr>
                <w:noProof/>
                <w:webHidden/>
              </w:rPr>
              <w:tab/>
            </w:r>
            <w:r w:rsidR="00796831">
              <w:rPr>
                <w:noProof/>
                <w:webHidden/>
              </w:rPr>
              <w:fldChar w:fldCharType="begin"/>
            </w:r>
            <w:r w:rsidR="00796831">
              <w:rPr>
                <w:noProof/>
                <w:webHidden/>
              </w:rPr>
              <w:instrText xml:space="preserve"> PAGEREF _Toc468884936 \h </w:instrText>
            </w:r>
            <w:r w:rsidR="00796831">
              <w:rPr>
                <w:noProof/>
                <w:webHidden/>
              </w:rPr>
            </w:r>
            <w:r w:rsidR="00796831">
              <w:rPr>
                <w:noProof/>
                <w:webHidden/>
              </w:rPr>
              <w:fldChar w:fldCharType="separate"/>
            </w:r>
            <w:r w:rsidR="00B71481">
              <w:rPr>
                <w:noProof/>
                <w:webHidden/>
              </w:rPr>
              <w:t>18</w:t>
            </w:r>
            <w:r w:rsidR="00796831">
              <w:rPr>
                <w:noProof/>
                <w:webHidden/>
              </w:rPr>
              <w:fldChar w:fldCharType="end"/>
            </w:r>
          </w:hyperlink>
        </w:p>
        <w:p w14:paraId="78531D64" w14:textId="77777777" w:rsidR="00796831" w:rsidRDefault="009F416D">
          <w:pPr>
            <w:pStyle w:val="TOC2"/>
            <w:tabs>
              <w:tab w:val="right" w:leader="dot" w:pos="9016"/>
            </w:tabs>
            <w:rPr>
              <w:rFonts w:eastAsiaTheme="minorEastAsia"/>
              <w:noProof/>
              <w:lang w:eastAsia="en-AU"/>
            </w:rPr>
          </w:pPr>
          <w:hyperlink w:anchor="_Toc468884937" w:history="1">
            <w:r w:rsidR="00796831" w:rsidRPr="00E070A3">
              <w:rPr>
                <w:rStyle w:val="Hyperlink"/>
                <w:noProof/>
              </w:rPr>
              <w:t>Stakeholder comments</w:t>
            </w:r>
            <w:r w:rsidR="00796831">
              <w:rPr>
                <w:noProof/>
                <w:webHidden/>
              </w:rPr>
              <w:tab/>
            </w:r>
            <w:r w:rsidR="00796831">
              <w:rPr>
                <w:noProof/>
                <w:webHidden/>
              </w:rPr>
              <w:fldChar w:fldCharType="begin"/>
            </w:r>
            <w:r w:rsidR="00796831">
              <w:rPr>
                <w:noProof/>
                <w:webHidden/>
              </w:rPr>
              <w:instrText xml:space="preserve"> PAGEREF _Toc468884937 \h </w:instrText>
            </w:r>
            <w:r w:rsidR="00796831">
              <w:rPr>
                <w:noProof/>
                <w:webHidden/>
              </w:rPr>
            </w:r>
            <w:r w:rsidR="00796831">
              <w:rPr>
                <w:noProof/>
                <w:webHidden/>
              </w:rPr>
              <w:fldChar w:fldCharType="separate"/>
            </w:r>
            <w:r w:rsidR="00B71481">
              <w:rPr>
                <w:noProof/>
                <w:webHidden/>
              </w:rPr>
              <w:t>18</w:t>
            </w:r>
            <w:r w:rsidR="00796831">
              <w:rPr>
                <w:noProof/>
                <w:webHidden/>
              </w:rPr>
              <w:fldChar w:fldCharType="end"/>
            </w:r>
          </w:hyperlink>
        </w:p>
        <w:p w14:paraId="279B79C5" w14:textId="77777777" w:rsidR="00796831" w:rsidRDefault="009F416D">
          <w:pPr>
            <w:pStyle w:val="TOC2"/>
            <w:tabs>
              <w:tab w:val="right" w:leader="dot" w:pos="9016"/>
            </w:tabs>
            <w:rPr>
              <w:rFonts w:eastAsiaTheme="minorEastAsia"/>
              <w:noProof/>
              <w:lang w:eastAsia="en-AU"/>
            </w:rPr>
          </w:pPr>
          <w:hyperlink w:anchor="_Toc468884938" w:history="1">
            <w:r w:rsidR="00796831" w:rsidRPr="00E070A3">
              <w:rPr>
                <w:rStyle w:val="Hyperlink"/>
                <w:b/>
                <w:noProof/>
              </w:rPr>
              <w:t>KPI 6: Regulators actively contribute to the continuous improvement of regulatory frameworks</w:t>
            </w:r>
            <w:r w:rsidR="00796831">
              <w:rPr>
                <w:noProof/>
                <w:webHidden/>
              </w:rPr>
              <w:tab/>
            </w:r>
            <w:r w:rsidR="00796831">
              <w:rPr>
                <w:noProof/>
                <w:webHidden/>
              </w:rPr>
              <w:fldChar w:fldCharType="begin"/>
            </w:r>
            <w:r w:rsidR="00796831">
              <w:rPr>
                <w:noProof/>
                <w:webHidden/>
              </w:rPr>
              <w:instrText xml:space="preserve"> PAGEREF _Toc468884938 \h </w:instrText>
            </w:r>
            <w:r w:rsidR="00796831">
              <w:rPr>
                <w:noProof/>
                <w:webHidden/>
              </w:rPr>
            </w:r>
            <w:r w:rsidR="00796831">
              <w:rPr>
                <w:noProof/>
                <w:webHidden/>
              </w:rPr>
              <w:fldChar w:fldCharType="separate"/>
            </w:r>
            <w:r w:rsidR="00B71481">
              <w:rPr>
                <w:noProof/>
                <w:webHidden/>
              </w:rPr>
              <w:t>20</w:t>
            </w:r>
            <w:r w:rsidR="00796831">
              <w:rPr>
                <w:noProof/>
                <w:webHidden/>
              </w:rPr>
              <w:fldChar w:fldCharType="end"/>
            </w:r>
          </w:hyperlink>
        </w:p>
        <w:p w14:paraId="129B3889" w14:textId="77777777" w:rsidR="00796831" w:rsidRDefault="009F416D">
          <w:pPr>
            <w:pStyle w:val="TOC2"/>
            <w:tabs>
              <w:tab w:val="right" w:leader="dot" w:pos="9016"/>
            </w:tabs>
            <w:rPr>
              <w:rFonts w:eastAsiaTheme="minorEastAsia"/>
              <w:noProof/>
              <w:lang w:eastAsia="en-AU"/>
            </w:rPr>
          </w:pPr>
          <w:hyperlink w:anchor="_Toc468884939" w:history="1">
            <w:r w:rsidR="00796831" w:rsidRPr="00E070A3">
              <w:rPr>
                <w:rStyle w:val="Hyperlink"/>
                <w:noProof/>
              </w:rPr>
              <w:t>Summary</w:t>
            </w:r>
            <w:r w:rsidR="00796831">
              <w:rPr>
                <w:noProof/>
                <w:webHidden/>
              </w:rPr>
              <w:tab/>
            </w:r>
            <w:r w:rsidR="00796831">
              <w:rPr>
                <w:noProof/>
                <w:webHidden/>
              </w:rPr>
              <w:fldChar w:fldCharType="begin"/>
            </w:r>
            <w:r w:rsidR="00796831">
              <w:rPr>
                <w:noProof/>
                <w:webHidden/>
              </w:rPr>
              <w:instrText xml:space="preserve"> PAGEREF _Toc468884939 \h </w:instrText>
            </w:r>
            <w:r w:rsidR="00796831">
              <w:rPr>
                <w:noProof/>
                <w:webHidden/>
              </w:rPr>
            </w:r>
            <w:r w:rsidR="00796831">
              <w:rPr>
                <w:noProof/>
                <w:webHidden/>
              </w:rPr>
              <w:fldChar w:fldCharType="separate"/>
            </w:r>
            <w:r w:rsidR="00B71481">
              <w:rPr>
                <w:noProof/>
                <w:webHidden/>
              </w:rPr>
              <w:t>20</w:t>
            </w:r>
            <w:r w:rsidR="00796831">
              <w:rPr>
                <w:noProof/>
                <w:webHidden/>
              </w:rPr>
              <w:fldChar w:fldCharType="end"/>
            </w:r>
          </w:hyperlink>
        </w:p>
        <w:p w14:paraId="67D49B8F" w14:textId="77777777" w:rsidR="00796831" w:rsidRDefault="009F416D">
          <w:pPr>
            <w:pStyle w:val="TOC2"/>
            <w:tabs>
              <w:tab w:val="right" w:leader="dot" w:pos="9016"/>
            </w:tabs>
            <w:rPr>
              <w:rFonts w:eastAsiaTheme="minorEastAsia"/>
              <w:noProof/>
              <w:lang w:eastAsia="en-AU"/>
            </w:rPr>
          </w:pPr>
          <w:hyperlink w:anchor="_Toc468884940" w:history="1">
            <w:r w:rsidR="00796831" w:rsidRPr="00E070A3">
              <w:rPr>
                <w:rStyle w:val="Hyperlink"/>
                <w:noProof/>
              </w:rPr>
              <w:t>KPI Expectations</w:t>
            </w:r>
            <w:r w:rsidR="00796831">
              <w:rPr>
                <w:noProof/>
                <w:webHidden/>
              </w:rPr>
              <w:tab/>
            </w:r>
            <w:r w:rsidR="00796831">
              <w:rPr>
                <w:noProof/>
                <w:webHidden/>
              </w:rPr>
              <w:fldChar w:fldCharType="begin"/>
            </w:r>
            <w:r w:rsidR="00796831">
              <w:rPr>
                <w:noProof/>
                <w:webHidden/>
              </w:rPr>
              <w:instrText xml:space="preserve"> PAGEREF _Toc468884940 \h </w:instrText>
            </w:r>
            <w:r w:rsidR="00796831">
              <w:rPr>
                <w:noProof/>
                <w:webHidden/>
              </w:rPr>
            </w:r>
            <w:r w:rsidR="00796831">
              <w:rPr>
                <w:noProof/>
                <w:webHidden/>
              </w:rPr>
              <w:fldChar w:fldCharType="separate"/>
            </w:r>
            <w:r w:rsidR="00B71481">
              <w:rPr>
                <w:noProof/>
                <w:webHidden/>
              </w:rPr>
              <w:t>20</w:t>
            </w:r>
            <w:r w:rsidR="00796831">
              <w:rPr>
                <w:noProof/>
                <w:webHidden/>
              </w:rPr>
              <w:fldChar w:fldCharType="end"/>
            </w:r>
          </w:hyperlink>
        </w:p>
        <w:p w14:paraId="6260BB34" w14:textId="77777777" w:rsidR="00796831" w:rsidRDefault="009F416D">
          <w:pPr>
            <w:pStyle w:val="TOC2"/>
            <w:tabs>
              <w:tab w:val="right" w:leader="dot" w:pos="9016"/>
            </w:tabs>
            <w:rPr>
              <w:rFonts w:eastAsiaTheme="minorEastAsia"/>
              <w:noProof/>
              <w:lang w:eastAsia="en-AU"/>
            </w:rPr>
          </w:pPr>
          <w:hyperlink w:anchor="_Toc468884941" w:history="1">
            <w:r w:rsidR="00796831" w:rsidRPr="00E070A3">
              <w:rPr>
                <w:rStyle w:val="Hyperlink"/>
                <w:noProof/>
              </w:rPr>
              <w:t>NOPTA’s Approach</w:t>
            </w:r>
            <w:r w:rsidR="00796831">
              <w:rPr>
                <w:noProof/>
                <w:webHidden/>
              </w:rPr>
              <w:tab/>
            </w:r>
            <w:r w:rsidR="00796831">
              <w:rPr>
                <w:noProof/>
                <w:webHidden/>
              </w:rPr>
              <w:fldChar w:fldCharType="begin"/>
            </w:r>
            <w:r w:rsidR="00796831">
              <w:rPr>
                <w:noProof/>
                <w:webHidden/>
              </w:rPr>
              <w:instrText xml:space="preserve"> PAGEREF _Toc468884941 \h </w:instrText>
            </w:r>
            <w:r w:rsidR="00796831">
              <w:rPr>
                <w:noProof/>
                <w:webHidden/>
              </w:rPr>
            </w:r>
            <w:r w:rsidR="00796831">
              <w:rPr>
                <w:noProof/>
                <w:webHidden/>
              </w:rPr>
              <w:fldChar w:fldCharType="separate"/>
            </w:r>
            <w:r w:rsidR="00B71481">
              <w:rPr>
                <w:noProof/>
                <w:webHidden/>
              </w:rPr>
              <w:t>20</w:t>
            </w:r>
            <w:r w:rsidR="00796831">
              <w:rPr>
                <w:noProof/>
                <w:webHidden/>
              </w:rPr>
              <w:fldChar w:fldCharType="end"/>
            </w:r>
          </w:hyperlink>
        </w:p>
        <w:p w14:paraId="33FA9634" w14:textId="77777777" w:rsidR="00796831" w:rsidRDefault="009F416D">
          <w:pPr>
            <w:pStyle w:val="TOC2"/>
            <w:tabs>
              <w:tab w:val="right" w:leader="dot" w:pos="9016"/>
            </w:tabs>
            <w:rPr>
              <w:rFonts w:eastAsiaTheme="minorEastAsia"/>
              <w:noProof/>
              <w:lang w:eastAsia="en-AU"/>
            </w:rPr>
          </w:pPr>
          <w:hyperlink w:anchor="_Toc468884942" w:history="1">
            <w:r w:rsidR="00796831" w:rsidRPr="00E070A3">
              <w:rPr>
                <w:rStyle w:val="Hyperlink"/>
                <w:noProof/>
              </w:rPr>
              <w:t>Results</w:t>
            </w:r>
            <w:r w:rsidR="00796831">
              <w:rPr>
                <w:noProof/>
                <w:webHidden/>
              </w:rPr>
              <w:tab/>
            </w:r>
            <w:r w:rsidR="00796831">
              <w:rPr>
                <w:noProof/>
                <w:webHidden/>
              </w:rPr>
              <w:fldChar w:fldCharType="begin"/>
            </w:r>
            <w:r w:rsidR="00796831">
              <w:rPr>
                <w:noProof/>
                <w:webHidden/>
              </w:rPr>
              <w:instrText xml:space="preserve"> PAGEREF _Toc468884942 \h </w:instrText>
            </w:r>
            <w:r w:rsidR="00796831">
              <w:rPr>
                <w:noProof/>
                <w:webHidden/>
              </w:rPr>
            </w:r>
            <w:r w:rsidR="00796831">
              <w:rPr>
                <w:noProof/>
                <w:webHidden/>
              </w:rPr>
              <w:fldChar w:fldCharType="separate"/>
            </w:r>
            <w:r w:rsidR="00B71481">
              <w:rPr>
                <w:noProof/>
                <w:webHidden/>
              </w:rPr>
              <w:t>20</w:t>
            </w:r>
            <w:r w:rsidR="00796831">
              <w:rPr>
                <w:noProof/>
                <w:webHidden/>
              </w:rPr>
              <w:fldChar w:fldCharType="end"/>
            </w:r>
          </w:hyperlink>
        </w:p>
        <w:p w14:paraId="2F611A57" w14:textId="77777777" w:rsidR="00796831" w:rsidRDefault="009F416D">
          <w:pPr>
            <w:pStyle w:val="TOC2"/>
            <w:tabs>
              <w:tab w:val="right" w:leader="dot" w:pos="9016"/>
            </w:tabs>
            <w:rPr>
              <w:rFonts w:eastAsiaTheme="minorEastAsia"/>
              <w:noProof/>
              <w:lang w:eastAsia="en-AU"/>
            </w:rPr>
          </w:pPr>
          <w:hyperlink w:anchor="_Toc468884943" w:history="1">
            <w:r w:rsidR="00796831" w:rsidRPr="00E070A3">
              <w:rPr>
                <w:rStyle w:val="Hyperlink"/>
                <w:noProof/>
              </w:rPr>
              <w:t>Stakeholder comments</w:t>
            </w:r>
            <w:r w:rsidR="00796831">
              <w:rPr>
                <w:noProof/>
                <w:webHidden/>
              </w:rPr>
              <w:tab/>
            </w:r>
            <w:r w:rsidR="00796831">
              <w:rPr>
                <w:noProof/>
                <w:webHidden/>
              </w:rPr>
              <w:fldChar w:fldCharType="begin"/>
            </w:r>
            <w:r w:rsidR="00796831">
              <w:rPr>
                <w:noProof/>
                <w:webHidden/>
              </w:rPr>
              <w:instrText xml:space="preserve"> PAGEREF _Toc468884943 \h </w:instrText>
            </w:r>
            <w:r w:rsidR="00796831">
              <w:rPr>
                <w:noProof/>
                <w:webHidden/>
              </w:rPr>
            </w:r>
            <w:r w:rsidR="00796831">
              <w:rPr>
                <w:noProof/>
                <w:webHidden/>
              </w:rPr>
              <w:fldChar w:fldCharType="separate"/>
            </w:r>
            <w:r w:rsidR="00B71481">
              <w:rPr>
                <w:noProof/>
                <w:webHidden/>
              </w:rPr>
              <w:t>21</w:t>
            </w:r>
            <w:r w:rsidR="00796831">
              <w:rPr>
                <w:noProof/>
                <w:webHidden/>
              </w:rPr>
              <w:fldChar w:fldCharType="end"/>
            </w:r>
          </w:hyperlink>
        </w:p>
        <w:p w14:paraId="3B3C4017" w14:textId="77777777" w:rsidR="00796831" w:rsidRDefault="009F416D">
          <w:pPr>
            <w:pStyle w:val="TOC1"/>
            <w:rPr>
              <w:rFonts w:eastAsiaTheme="minorEastAsia"/>
              <w:noProof/>
              <w:lang w:eastAsia="en-AU"/>
            </w:rPr>
          </w:pPr>
          <w:hyperlink w:anchor="_Toc468884944" w:history="1">
            <w:r w:rsidR="00796831" w:rsidRPr="00E070A3">
              <w:rPr>
                <w:rStyle w:val="Hyperlink"/>
                <w:b/>
                <w:noProof/>
              </w:rPr>
              <w:t>External Validation comments</w:t>
            </w:r>
            <w:r w:rsidR="00796831">
              <w:rPr>
                <w:noProof/>
                <w:webHidden/>
              </w:rPr>
              <w:tab/>
            </w:r>
            <w:r w:rsidR="00796831">
              <w:rPr>
                <w:noProof/>
                <w:webHidden/>
              </w:rPr>
              <w:fldChar w:fldCharType="begin"/>
            </w:r>
            <w:r w:rsidR="00796831">
              <w:rPr>
                <w:noProof/>
                <w:webHidden/>
              </w:rPr>
              <w:instrText xml:space="preserve"> PAGEREF _Toc468884944 \h </w:instrText>
            </w:r>
            <w:r w:rsidR="00796831">
              <w:rPr>
                <w:noProof/>
                <w:webHidden/>
              </w:rPr>
            </w:r>
            <w:r w:rsidR="00796831">
              <w:rPr>
                <w:noProof/>
                <w:webHidden/>
              </w:rPr>
              <w:fldChar w:fldCharType="separate"/>
            </w:r>
            <w:r w:rsidR="00B71481">
              <w:rPr>
                <w:noProof/>
                <w:webHidden/>
              </w:rPr>
              <w:t>23</w:t>
            </w:r>
            <w:r w:rsidR="00796831">
              <w:rPr>
                <w:noProof/>
                <w:webHidden/>
              </w:rPr>
              <w:fldChar w:fldCharType="end"/>
            </w:r>
          </w:hyperlink>
        </w:p>
        <w:p w14:paraId="11738CF2" w14:textId="77777777" w:rsidR="00796831" w:rsidRDefault="009F416D">
          <w:pPr>
            <w:pStyle w:val="TOC1"/>
            <w:rPr>
              <w:rFonts w:eastAsiaTheme="minorEastAsia"/>
              <w:noProof/>
              <w:lang w:eastAsia="en-AU"/>
            </w:rPr>
          </w:pPr>
          <w:hyperlink w:anchor="_Toc468884945" w:history="1">
            <w:r w:rsidR="00796831" w:rsidRPr="00E070A3">
              <w:rPr>
                <w:rStyle w:val="Hyperlink"/>
                <w:b/>
                <w:noProof/>
              </w:rPr>
              <w:t>Conclusion</w:t>
            </w:r>
            <w:r w:rsidR="00796831">
              <w:rPr>
                <w:noProof/>
                <w:webHidden/>
              </w:rPr>
              <w:tab/>
            </w:r>
            <w:r w:rsidR="00796831">
              <w:rPr>
                <w:noProof/>
                <w:webHidden/>
              </w:rPr>
              <w:fldChar w:fldCharType="begin"/>
            </w:r>
            <w:r w:rsidR="00796831">
              <w:rPr>
                <w:noProof/>
                <w:webHidden/>
              </w:rPr>
              <w:instrText xml:space="preserve"> PAGEREF _Toc468884945 \h </w:instrText>
            </w:r>
            <w:r w:rsidR="00796831">
              <w:rPr>
                <w:noProof/>
                <w:webHidden/>
              </w:rPr>
            </w:r>
            <w:r w:rsidR="00796831">
              <w:rPr>
                <w:noProof/>
                <w:webHidden/>
              </w:rPr>
              <w:fldChar w:fldCharType="separate"/>
            </w:r>
            <w:r w:rsidR="00B71481">
              <w:rPr>
                <w:noProof/>
                <w:webHidden/>
              </w:rPr>
              <w:t>23</w:t>
            </w:r>
            <w:r w:rsidR="00796831">
              <w:rPr>
                <w:noProof/>
                <w:webHidden/>
              </w:rPr>
              <w:fldChar w:fldCharType="end"/>
            </w:r>
          </w:hyperlink>
        </w:p>
        <w:p w14:paraId="18F2EA8C" w14:textId="77777777" w:rsidR="00796831" w:rsidRDefault="009F416D">
          <w:pPr>
            <w:pStyle w:val="TOC1"/>
            <w:rPr>
              <w:rFonts w:eastAsiaTheme="minorEastAsia"/>
              <w:noProof/>
              <w:lang w:eastAsia="en-AU"/>
            </w:rPr>
          </w:pPr>
          <w:hyperlink w:anchor="_Toc468884946" w:history="1">
            <w:r w:rsidR="00796831" w:rsidRPr="00E070A3">
              <w:rPr>
                <w:rStyle w:val="Hyperlink"/>
                <w:b/>
                <w:noProof/>
              </w:rPr>
              <w:t>2016-2017 and beyond</w:t>
            </w:r>
            <w:r w:rsidR="00796831">
              <w:rPr>
                <w:noProof/>
                <w:webHidden/>
              </w:rPr>
              <w:tab/>
            </w:r>
            <w:r w:rsidR="00796831">
              <w:rPr>
                <w:noProof/>
                <w:webHidden/>
              </w:rPr>
              <w:fldChar w:fldCharType="begin"/>
            </w:r>
            <w:r w:rsidR="00796831">
              <w:rPr>
                <w:noProof/>
                <w:webHidden/>
              </w:rPr>
              <w:instrText xml:space="preserve"> PAGEREF _Toc468884946 \h </w:instrText>
            </w:r>
            <w:r w:rsidR="00796831">
              <w:rPr>
                <w:noProof/>
                <w:webHidden/>
              </w:rPr>
            </w:r>
            <w:r w:rsidR="00796831">
              <w:rPr>
                <w:noProof/>
                <w:webHidden/>
              </w:rPr>
              <w:fldChar w:fldCharType="separate"/>
            </w:r>
            <w:r w:rsidR="00B71481">
              <w:rPr>
                <w:noProof/>
                <w:webHidden/>
              </w:rPr>
              <w:t>23</w:t>
            </w:r>
            <w:r w:rsidR="00796831">
              <w:rPr>
                <w:noProof/>
                <w:webHidden/>
              </w:rPr>
              <w:fldChar w:fldCharType="end"/>
            </w:r>
          </w:hyperlink>
        </w:p>
        <w:p w14:paraId="2955681F" w14:textId="0CAAFADB" w:rsidR="00176A72" w:rsidRDefault="00176A72" w:rsidP="00732E64">
          <w:pPr>
            <w:spacing w:line="240" w:lineRule="auto"/>
          </w:pPr>
          <w:r>
            <w:rPr>
              <w:b/>
              <w:bCs/>
              <w:noProof/>
            </w:rPr>
            <w:fldChar w:fldCharType="end"/>
          </w:r>
        </w:p>
      </w:sdtContent>
    </w:sdt>
    <w:p w14:paraId="72E82B76" w14:textId="77777777" w:rsidR="00176A72" w:rsidRDefault="00176A72" w:rsidP="00732E64">
      <w:pPr>
        <w:spacing w:line="240" w:lineRule="auto"/>
        <w:rPr>
          <w:rFonts w:asciiTheme="majorHAnsi" w:eastAsiaTheme="majorEastAsia" w:hAnsiTheme="majorHAnsi" w:cstheme="majorBidi"/>
          <w:b/>
          <w:color w:val="2E74B5" w:themeColor="accent1" w:themeShade="BF"/>
          <w:sz w:val="32"/>
          <w:szCs w:val="32"/>
        </w:rPr>
      </w:pPr>
      <w:r>
        <w:rPr>
          <w:b/>
        </w:rPr>
        <w:br w:type="page"/>
      </w:r>
    </w:p>
    <w:p w14:paraId="12181992" w14:textId="77BCA5DF" w:rsidR="005A46C3" w:rsidRDefault="005A46C3" w:rsidP="005A46C3">
      <w:pPr>
        <w:pStyle w:val="Heading1"/>
        <w:spacing w:line="240" w:lineRule="auto"/>
        <w:rPr>
          <w:b/>
        </w:rPr>
      </w:pPr>
      <w:bookmarkStart w:id="6" w:name="_Toc468884900"/>
      <w:bookmarkStart w:id="7" w:name="_Toc453069550"/>
      <w:r>
        <w:rPr>
          <w:b/>
        </w:rPr>
        <w:lastRenderedPageBreak/>
        <w:t>NOPTA - snapshot</w:t>
      </w:r>
      <w:bookmarkEnd w:id="6"/>
    </w:p>
    <w:p w14:paraId="4199C397" w14:textId="77777777" w:rsidR="005A46C3" w:rsidRDefault="005A46C3" w:rsidP="005A46C3">
      <w:pPr>
        <w:spacing w:line="240" w:lineRule="auto"/>
        <w:rPr>
          <w:b/>
          <w:highlight w:val="magenta"/>
        </w:rPr>
      </w:pPr>
    </w:p>
    <w:p w14:paraId="42F1519F" w14:textId="0C2F4B39" w:rsidR="005A46C3" w:rsidRDefault="005A46C3" w:rsidP="005A46C3">
      <w:pPr>
        <w:spacing w:line="240" w:lineRule="auto"/>
        <w:rPr>
          <w:rFonts w:cs="Arial"/>
        </w:rPr>
      </w:pPr>
      <w:r w:rsidRPr="00285375">
        <w:rPr>
          <w:rFonts w:cs="Arial"/>
        </w:rPr>
        <w:t xml:space="preserve">The key purpose of the </w:t>
      </w:r>
      <w:r w:rsidR="00352A24">
        <w:rPr>
          <w:rFonts w:cs="Arial"/>
        </w:rPr>
        <w:t>Regulator Performance Framework (RPF)</w:t>
      </w:r>
      <w:r w:rsidRPr="00285375">
        <w:rPr>
          <w:rFonts w:cs="Arial"/>
        </w:rPr>
        <w:t xml:space="preserve"> is to improve regulator’s performance by being publicly accountable in demonstrating effective management of risk.  NOPTA self-assesses that it has implemented the RPF and met its six </w:t>
      </w:r>
      <w:r w:rsidR="00352A24" w:rsidRPr="00A37C75">
        <w:t>Key Performance Indicators (KPIs)</w:t>
      </w:r>
      <w:r w:rsidR="00352A24">
        <w:t xml:space="preserve"> </w:t>
      </w:r>
      <w:r w:rsidRPr="00285375">
        <w:rPr>
          <w:rFonts w:cs="Arial"/>
        </w:rPr>
        <w:t>effectively</w:t>
      </w:r>
      <w:r w:rsidR="000A473E">
        <w:rPr>
          <w:rFonts w:cs="Arial"/>
        </w:rPr>
        <w:t xml:space="preserve"> – however </w:t>
      </w:r>
      <w:r w:rsidRPr="00285375">
        <w:rPr>
          <w:rFonts w:cs="Arial"/>
        </w:rPr>
        <w:t xml:space="preserve">NOPTA </w:t>
      </w:r>
      <w:r w:rsidR="000A473E">
        <w:rPr>
          <w:rFonts w:cs="Arial"/>
        </w:rPr>
        <w:t>always s</w:t>
      </w:r>
      <w:r w:rsidR="000F47E1">
        <w:rPr>
          <w:rFonts w:cs="Arial"/>
        </w:rPr>
        <w:t>trives to continuously improve.</w:t>
      </w:r>
    </w:p>
    <w:p w14:paraId="5526ED91" w14:textId="4570ADA3" w:rsidR="00352A24" w:rsidRDefault="00352A24" w:rsidP="005A46C3">
      <w:pPr>
        <w:spacing w:line="240" w:lineRule="auto"/>
        <w:rPr>
          <w:rFonts w:cs="Arial"/>
        </w:rPr>
      </w:pPr>
      <w:r>
        <w:rPr>
          <w:rFonts w:cs="Arial"/>
        </w:rPr>
        <w:t>Achievements against the KPIs for 2015-16 include:</w:t>
      </w:r>
    </w:p>
    <w:p w14:paraId="695A60A7" w14:textId="67AAC3B4" w:rsidR="00352A24" w:rsidRDefault="00352A24" w:rsidP="00352A24">
      <w:pPr>
        <w:pStyle w:val="ListParagraph"/>
        <w:numPr>
          <w:ilvl w:val="0"/>
          <w:numId w:val="39"/>
        </w:numPr>
        <w:spacing w:after="120"/>
        <w:contextualSpacing w:val="0"/>
        <w:rPr>
          <w:rFonts w:asciiTheme="minorHAnsi" w:hAnsiTheme="minorHAnsi"/>
          <w:color w:val="auto"/>
          <w:sz w:val="22"/>
          <w:szCs w:val="22"/>
        </w:rPr>
      </w:pPr>
      <w:r>
        <w:rPr>
          <w:rFonts w:asciiTheme="minorHAnsi" w:hAnsiTheme="minorHAnsi"/>
          <w:color w:val="auto"/>
          <w:sz w:val="22"/>
          <w:szCs w:val="22"/>
        </w:rPr>
        <w:t xml:space="preserve">Improved </w:t>
      </w:r>
      <w:r w:rsidRPr="00610562">
        <w:rPr>
          <w:rFonts w:asciiTheme="minorHAnsi" w:hAnsiTheme="minorHAnsi"/>
          <w:color w:val="auto"/>
          <w:sz w:val="22"/>
          <w:szCs w:val="22"/>
        </w:rPr>
        <w:t>the consistency of reporting</w:t>
      </w:r>
      <w:r>
        <w:rPr>
          <w:rFonts w:asciiTheme="minorHAnsi" w:hAnsiTheme="minorHAnsi"/>
          <w:color w:val="auto"/>
          <w:sz w:val="22"/>
          <w:szCs w:val="22"/>
        </w:rPr>
        <w:t xml:space="preserve"> for </w:t>
      </w:r>
      <w:r w:rsidRPr="00B80982">
        <w:rPr>
          <w:rFonts w:asciiTheme="minorHAnsi" w:hAnsiTheme="minorHAnsi"/>
          <w:color w:val="auto"/>
          <w:sz w:val="22"/>
          <w:szCs w:val="22"/>
        </w:rPr>
        <w:t>Annual Title Assessment Reports (ATARs)</w:t>
      </w:r>
      <w:r>
        <w:rPr>
          <w:rFonts w:asciiTheme="minorHAnsi" w:hAnsiTheme="minorHAnsi"/>
          <w:color w:val="auto"/>
          <w:sz w:val="22"/>
          <w:szCs w:val="22"/>
        </w:rPr>
        <w:t xml:space="preserve"> by engaging s</w:t>
      </w:r>
      <w:r w:rsidRPr="00732E64">
        <w:rPr>
          <w:rFonts w:asciiTheme="minorHAnsi" w:hAnsiTheme="minorHAnsi"/>
          <w:color w:val="auto"/>
          <w:sz w:val="22"/>
          <w:szCs w:val="22"/>
        </w:rPr>
        <w:t>takeholder</w:t>
      </w:r>
      <w:r>
        <w:rPr>
          <w:rFonts w:asciiTheme="minorHAnsi" w:hAnsiTheme="minorHAnsi"/>
          <w:color w:val="auto"/>
          <w:sz w:val="22"/>
          <w:szCs w:val="22"/>
        </w:rPr>
        <w:t xml:space="preserve">s in </w:t>
      </w:r>
      <w:r w:rsidRPr="00732E64">
        <w:rPr>
          <w:rFonts w:asciiTheme="minorHAnsi" w:hAnsiTheme="minorHAnsi"/>
          <w:color w:val="auto"/>
          <w:sz w:val="22"/>
          <w:szCs w:val="22"/>
        </w:rPr>
        <w:t>the design and implementation of model templates</w:t>
      </w:r>
      <w:r>
        <w:rPr>
          <w:rFonts w:asciiTheme="minorHAnsi" w:hAnsiTheme="minorHAnsi"/>
          <w:color w:val="auto"/>
          <w:sz w:val="22"/>
          <w:szCs w:val="22"/>
        </w:rPr>
        <w:t xml:space="preserve"> (KPI 1).</w:t>
      </w:r>
    </w:p>
    <w:p w14:paraId="5B0DEFDF" w14:textId="7601239E" w:rsidR="00352A24" w:rsidRPr="004638A9" w:rsidRDefault="00352A24" w:rsidP="00352A24">
      <w:pPr>
        <w:pStyle w:val="ListParagraph"/>
        <w:numPr>
          <w:ilvl w:val="0"/>
          <w:numId w:val="39"/>
        </w:numPr>
        <w:spacing w:after="120"/>
        <w:contextualSpacing w:val="0"/>
        <w:rPr>
          <w:rFonts w:asciiTheme="minorHAnsi" w:hAnsiTheme="minorHAnsi"/>
          <w:color w:val="auto"/>
          <w:sz w:val="22"/>
          <w:szCs w:val="22"/>
        </w:rPr>
      </w:pPr>
      <w:r>
        <w:rPr>
          <w:rFonts w:asciiTheme="minorHAnsi" w:hAnsiTheme="minorHAnsi"/>
          <w:color w:val="auto"/>
          <w:sz w:val="22"/>
          <w:szCs w:val="22"/>
        </w:rPr>
        <w:t xml:space="preserve">Received positive feedback from </w:t>
      </w:r>
      <w:r w:rsidRPr="004638A9">
        <w:rPr>
          <w:rFonts w:asciiTheme="minorHAnsi" w:hAnsiTheme="minorHAnsi"/>
          <w:color w:val="auto"/>
          <w:sz w:val="22"/>
          <w:szCs w:val="22"/>
        </w:rPr>
        <w:t>stakeholders</w:t>
      </w:r>
      <w:r>
        <w:rPr>
          <w:rFonts w:asciiTheme="minorHAnsi" w:hAnsiTheme="minorHAnsi"/>
          <w:color w:val="auto"/>
          <w:sz w:val="22"/>
          <w:szCs w:val="22"/>
        </w:rPr>
        <w:t xml:space="preserve"> on the </w:t>
      </w:r>
      <w:r w:rsidRPr="004638A9">
        <w:rPr>
          <w:rFonts w:asciiTheme="minorHAnsi" w:hAnsiTheme="minorHAnsi"/>
          <w:color w:val="auto"/>
          <w:sz w:val="22"/>
          <w:szCs w:val="22"/>
        </w:rPr>
        <w:t>introduction of an Annual report of activities for the 2014-15 financial year</w:t>
      </w:r>
      <w:r>
        <w:rPr>
          <w:rFonts w:asciiTheme="minorHAnsi" w:hAnsiTheme="minorHAnsi"/>
          <w:color w:val="auto"/>
          <w:sz w:val="22"/>
          <w:szCs w:val="22"/>
        </w:rPr>
        <w:t xml:space="preserve"> (KPI 2).</w:t>
      </w:r>
      <w:r w:rsidRPr="004638A9">
        <w:rPr>
          <w:rFonts w:asciiTheme="minorHAnsi" w:hAnsiTheme="minorHAnsi"/>
          <w:color w:val="auto"/>
          <w:sz w:val="22"/>
          <w:szCs w:val="22"/>
        </w:rPr>
        <w:t xml:space="preserve">  </w:t>
      </w:r>
    </w:p>
    <w:p w14:paraId="392221EB" w14:textId="6D7C169A" w:rsidR="00352A24" w:rsidRPr="007F38C5" w:rsidRDefault="00352A24" w:rsidP="00352A24">
      <w:pPr>
        <w:pStyle w:val="ListParagraph"/>
        <w:numPr>
          <w:ilvl w:val="0"/>
          <w:numId w:val="39"/>
        </w:numPr>
        <w:spacing w:after="120"/>
        <w:contextualSpacing w:val="0"/>
        <w:rPr>
          <w:rFonts w:asciiTheme="minorHAnsi" w:hAnsiTheme="minorHAnsi"/>
          <w:color w:val="auto"/>
          <w:sz w:val="22"/>
          <w:szCs w:val="22"/>
        </w:rPr>
      </w:pPr>
      <w:r w:rsidRPr="007F38C5">
        <w:rPr>
          <w:rFonts w:asciiTheme="minorHAnsi" w:hAnsiTheme="minorHAnsi"/>
          <w:color w:val="auto"/>
          <w:sz w:val="22"/>
          <w:szCs w:val="22"/>
        </w:rPr>
        <w:t>Engaged titleholders proactively to improve the understanding of data submission requirements and to clarify requirements</w:t>
      </w:r>
      <w:r>
        <w:rPr>
          <w:rFonts w:asciiTheme="minorHAnsi" w:hAnsiTheme="minorHAnsi"/>
          <w:color w:val="auto"/>
          <w:sz w:val="22"/>
          <w:szCs w:val="22"/>
        </w:rPr>
        <w:t xml:space="preserve"> (KPI 3)</w:t>
      </w:r>
      <w:r w:rsidRPr="007F38C5">
        <w:rPr>
          <w:rFonts w:asciiTheme="minorHAnsi" w:hAnsiTheme="minorHAnsi"/>
          <w:color w:val="auto"/>
          <w:sz w:val="22"/>
          <w:szCs w:val="22"/>
        </w:rPr>
        <w:t xml:space="preserve">. </w:t>
      </w:r>
    </w:p>
    <w:p w14:paraId="2CF397DB" w14:textId="687283AF" w:rsidR="00C92684" w:rsidRDefault="00C92684" w:rsidP="00C92684">
      <w:pPr>
        <w:pStyle w:val="ListParagraph"/>
        <w:numPr>
          <w:ilvl w:val="0"/>
          <w:numId w:val="39"/>
        </w:numPr>
        <w:spacing w:after="120"/>
        <w:contextualSpacing w:val="0"/>
        <w:rPr>
          <w:rFonts w:asciiTheme="minorHAnsi" w:hAnsiTheme="minorHAnsi"/>
          <w:color w:val="auto"/>
          <w:sz w:val="22"/>
          <w:szCs w:val="22"/>
        </w:rPr>
      </w:pPr>
      <w:r w:rsidRPr="0008769C">
        <w:rPr>
          <w:rFonts w:asciiTheme="minorHAnsi" w:hAnsiTheme="minorHAnsi"/>
          <w:color w:val="auto"/>
          <w:sz w:val="22"/>
          <w:szCs w:val="22"/>
        </w:rPr>
        <w:t>Identified opportunities to streamline and share services to reduce costs, including the provision of geographic information s</w:t>
      </w:r>
      <w:r>
        <w:rPr>
          <w:rFonts w:asciiTheme="minorHAnsi" w:hAnsiTheme="minorHAnsi"/>
          <w:color w:val="auto"/>
          <w:sz w:val="22"/>
          <w:szCs w:val="22"/>
        </w:rPr>
        <w:t>ervices</w:t>
      </w:r>
      <w:r w:rsidRPr="0008769C">
        <w:rPr>
          <w:rFonts w:asciiTheme="minorHAnsi" w:hAnsiTheme="minorHAnsi"/>
          <w:color w:val="auto"/>
          <w:sz w:val="22"/>
          <w:szCs w:val="22"/>
        </w:rPr>
        <w:t xml:space="preserve"> to </w:t>
      </w:r>
      <w:r w:rsidR="00CB5E64" w:rsidRPr="006371FC">
        <w:rPr>
          <w:rFonts w:asciiTheme="minorHAnsi" w:hAnsiTheme="minorHAnsi"/>
          <w:color w:val="auto"/>
          <w:sz w:val="22"/>
          <w:szCs w:val="22"/>
        </w:rPr>
        <w:t>National Offshore Petroleum Safety Environmental Management Authority (NOPSEMA</w:t>
      </w:r>
      <w:r w:rsidR="00CB5E64">
        <w:rPr>
          <w:rFonts w:asciiTheme="minorHAnsi" w:hAnsiTheme="minorHAnsi"/>
          <w:color w:val="auto"/>
          <w:sz w:val="22"/>
          <w:szCs w:val="22"/>
        </w:rPr>
        <w:t>)</w:t>
      </w:r>
      <w:r>
        <w:rPr>
          <w:rFonts w:asciiTheme="minorHAnsi" w:hAnsiTheme="minorHAnsi"/>
          <w:color w:val="auto"/>
          <w:sz w:val="22"/>
          <w:szCs w:val="22"/>
        </w:rPr>
        <w:t xml:space="preserve">(KPI 4). </w:t>
      </w:r>
    </w:p>
    <w:p w14:paraId="16867719" w14:textId="3F93C516" w:rsidR="00C92684" w:rsidRDefault="00C92684" w:rsidP="00C92684">
      <w:pPr>
        <w:pStyle w:val="ListParagraph"/>
        <w:numPr>
          <w:ilvl w:val="0"/>
          <w:numId w:val="39"/>
        </w:numPr>
        <w:spacing w:after="120"/>
        <w:contextualSpacing w:val="0"/>
        <w:rPr>
          <w:rFonts w:asciiTheme="minorHAnsi" w:hAnsiTheme="minorHAnsi"/>
          <w:color w:val="auto"/>
          <w:sz w:val="22"/>
          <w:szCs w:val="22"/>
        </w:rPr>
      </w:pPr>
      <w:r>
        <w:rPr>
          <w:rFonts w:asciiTheme="minorHAnsi" w:hAnsiTheme="minorHAnsi"/>
          <w:color w:val="auto"/>
          <w:sz w:val="22"/>
          <w:szCs w:val="22"/>
        </w:rPr>
        <w:t xml:space="preserve">Over 95 per cent </w:t>
      </w:r>
      <w:r w:rsidRPr="00526302">
        <w:rPr>
          <w:rFonts w:asciiTheme="minorHAnsi" w:hAnsiTheme="minorHAnsi"/>
          <w:color w:val="auto"/>
          <w:sz w:val="22"/>
          <w:szCs w:val="22"/>
        </w:rPr>
        <w:t>of the 2016 stakeholder survey respondents consider NOPTA open and transparent in its dealings, publicly accountable in publishing performance results and collaborative in its approach</w:t>
      </w:r>
      <w:r>
        <w:rPr>
          <w:rFonts w:asciiTheme="minorHAnsi" w:hAnsiTheme="minorHAnsi"/>
          <w:color w:val="auto"/>
          <w:sz w:val="22"/>
          <w:szCs w:val="22"/>
        </w:rPr>
        <w:t xml:space="preserve"> (KPI 5)</w:t>
      </w:r>
      <w:r w:rsidRPr="00526302">
        <w:rPr>
          <w:rFonts w:asciiTheme="minorHAnsi" w:hAnsiTheme="minorHAnsi"/>
          <w:color w:val="auto"/>
          <w:sz w:val="22"/>
          <w:szCs w:val="22"/>
        </w:rPr>
        <w:t>.</w:t>
      </w:r>
    </w:p>
    <w:p w14:paraId="04FB267E" w14:textId="03A1CAE5" w:rsidR="000A473E" w:rsidRPr="00DB2AA1" w:rsidRDefault="000A473E" w:rsidP="00C92684">
      <w:pPr>
        <w:pStyle w:val="ListParagraph"/>
        <w:numPr>
          <w:ilvl w:val="0"/>
          <w:numId w:val="39"/>
        </w:numPr>
        <w:spacing w:after="120"/>
        <w:contextualSpacing w:val="0"/>
        <w:rPr>
          <w:rFonts w:asciiTheme="minorHAnsi" w:hAnsiTheme="minorHAnsi"/>
          <w:color w:val="auto"/>
          <w:sz w:val="22"/>
          <w:szCs w:val="22"/>
        </w:rPr>
      </w:pPr>
      <w:r>
        <w:rPr>
          <w:rFonts w:asciiTheme="minorHAnsi" w:hAnsiTheme="minorHAnsi"/>
          <w:color w:val="auto"/>
          <w:sz w:val="22"/>
          <w:szCs w:val="22"/>
        </w:rPr>
        <w:t xml:space="preserve">Enhancing the </w:t>
      </w:r>
      <w:r w:rsidR="00E9624F" w:rsidRPr="00AF2C27">
        <w:rPr>
          <w:rFonts w:asciiTheme="minorHAnsi" w:hAnsiTheme="minorHAnsi"/>
          <w:color w:val="auto"/>
          <w:sz w:val="22"/>
          <w:szCs w:val="22"/>
        </w:rPr>
        <w:t xml:space="preserve">Industry Portal </w:t>
      </w:r>
      <w:r w:rsidR="00E9624F">
        <w:rPr>
          <w:rFonts w:asciiTheme="minorHAnsi" w:hAnsiTheme="minorHAnsi"/>
          <w:color w:val="auto"/>
          <w:sz w:val="22"/>
          <w:szCs w:val="22"/>
        </w:rPr>
        <w:t xml:space="preserve">of the </w:t>
      </w:r>
      <w:r w:rsidRPr="00941577">
        <w:rPr>
          <w:rFonts w:asciiTheme="minorHAnsi" w:hAnsiTheme="minorHAnsi"/>
          <w:color w:val="auto"/>
          <w:sz w:val="22"/>
          <w:szCs w:val="22"/>
        </w:rPr>
        <w:t xml:space="preserve">National Electronic Approvals Tracking </w:t>
      </w:r>
      <w:r>
        <w:rPr>
          <w:rFonts w:asciiTheme="minorHAnsi" w:hAnsiTheme="minorHAnsi"/>
          <w:color w:val="auto"/>
          <w:sz w:val="22"/>
          <w:szCs w:val="22"/>
        </w:rPr>
        <w:t>S</w:t>
      </w:r>
      <w:r w:rsidRPr="00941577">
        <w:rPr>
          <w:rFonts w:asciiTheme="minorHAnsi" w:hAnsiTheme="minorHAnsi"/>
          <w:color w:val="auto"/>
          <w:sz w:val="22"/>
          <w:szCs w:val="22"/>
        </w:rPr>
        <w:t>ystem</w:t>
      </w:r>
      <w:r w:rsidRPr="00D91960">
        <w:rPr>
          <w:rFonts w:asciiTheme="minorHAnsi" w:hAnsiTheme="minorHAnsi"/>
          <w:color w:val="auto"/>
          <w:sz w:val="22"/>
          <w:szCs w:val="22"/>
        </w:rPr>
        <w:t xml:space="preserve"> </w:t>
      </w:r>
      <w:r>
        <w:rPr>
          <w:rFonts w:asciiTheme="minorHAnsi" w:hAnsiTheme="minorHAnsi"/>
          <w:color w:val="auto"/>
          <w:sz w:val="22"/>
          <w:szCs w:val="22"/>
        </w:rPr>
        <w:t>(</w:t>
      </w:r>
      <w:r w:rsidRPr="00941577">
        <w:rPr>
          <w:rFonts w:asciiTheme="minorHAnsi" w:hAnsiTheme="minorHAnsi"/>
          <w:color w:val="auto"/>
          <w:sz w:val="22"/>
          <w:szCs w:val="22"/>
        </w:rPr>
        <w:t>NEATS</w:t>
      </w:r>
      <w:r>
        <w:rPr>
          <w:rFonts w:asciiTheme="minorHAnsi" w:hAnsiTheme="minorHAnsi"/>
          <w:color w:val="auto"/>
          <w:sz w:val="22"/>
          <w:szCs w:val="22"/>
        </w:rPr>
        <w:t>)</w:t>
      </w:r>
      <w:r w:rsidRPr="00941577">
        <w:rPr>
          <w:rFonts w:asciiTheme="minorHAnsi" w:hAnsiTheme="minorHAnsi"/>
          <w:color w:val="auto"/>
          <w:sz w:val="22"/>
          <w:szCs w:val="22"/>
        </w:rPr>
        <w:t xml:space="preserve"> </w:t>
      </w:r>
      <w:r>
        <w:rPr>
          <w:rFonts w:asciiTheme="minorHAnsi" w:hAnsiTheme="minorHAnsi"/>
          <w:color w:val="auto"/>
          <w:sz w:val="22"/>
          <w:szCs w:val="22"/>
        </w:rPr>
        <w:t>to enable the</w:t>
      </w:r>
      <w:r w:rsidRPr="00941577">
        <w:rPr>
          <w:rFonts w:asciiTheme="minorHAnsi" w:hAnsiTheme="minorHAnsi"/>
          <w:color w:val="auto"/>
          <w:sz w:val="22"/>
          <w:szCs w:val="22"/>
        </w:rPr>
        <w:t xml:space="preserve"> automation of annual title administration levy notifications</w:t>
      </w:r>
      <w:r w:rsidR="00E9624F">
        <w:rPr>
          <w:rFonts w:asciiTheme="minorHAnsi" w:hAnsiTheme="minorHAnsi"/>
          <w:color w:val="auto"/>
          <w:sz w:val="22"/>
          <w:szCs w:val="22"/>
        </w:rPr>
        <w:t xml:space="preserve"> and provide</w:t>
      </w:r>
      <w:r w:rsidRPr="00941577">
        <w:rPr>
          <w:rFonts w:asciiTheme="minorHAnsi" w:hAnsiTheme="minorHAnsi"/>
          <w:color w:val="auto"/>
          <w:sz w:val="22"/>
          <w:szCs w:val="22"/>
        </w:rPr>
        <w:t xml:space="preserve"> easier access to credit card payment facilities</w:t>
      </w:r>
      <w:r w:rsidR="00E9624F">
        <w:rPr>
          <w:rFonts w:asciiTheme="minorHAnsi" w:hAnsiTheme="minorHAnsi"/>
          <w:color w:val="auto"/>
          <w:sz w:val="22"/>
          <w:szCs w:val="22"/>
        </w:rPr>
        <w:t xml:space="preserve"> and </w:t>
      </w:r>
      <w:r w:rsidRPr="0091514A">
        <w:rPr>
          <w:rFonts w:asciiTheme="minorHAnsi" w:hAnsiTheme="minorHAnsi"/>
          <w:color w:val="auto"/>
          <w:sz w:val="22"/>
          <w:szCs w:val="22"/>
        </w:rPr>
        <w:t>payment history</w:t>
      </w:r>
      <w:r w:rsidR="00E9624F">
        <w:rPr>
          <w:rFonts w:asciiTheme="minorHAnsi" w:hAnsiTheme="minorHAnsi"/>
          <w:color w:val="auto"/>
          <w:sz w:val="22"/>
          <w:szCs w:val="22"/>
        </w:rPr>
        <w:t xml:space="preserve"> (KPI 6).</w:t>
      </w:r>
      <w:r w:rsidRPr="00D91960">
        <w:rPr>
          <w:rFonts w:asciiTheme="minorHAnsi" w:hAnsiTheme="minorHAnsi"/>
          <w:color w:val="auto"/>
          <w:sz w:val="22"/>
          <w:szCs w:val="22"/>
        </w:rPr>
        <w:t xml:space="preserve"> </w:t>
      </w:r>
    </w:p>
    <w:p w14:paraId="41A083C1" w14:textId="0E0B38AA" w:rsidR="005A46C3" w:rsidRDefault="00E9624F" w:rsidP="005A46C3">
      <w:pPr>
        <w:spacing w:after="0" w:line="240" w:lineRule="auto"/>
        <w:rPr>
          <w:rFonts w:ascii="Calibri" w:hAnsi="Calibri"/>
        </w:rPr>
      </w:pPr>
      <w:r>
        <w:rPr>
          <w:rFonts w:ascii="Calibri" w:hAnsi="Calibri"/>
        </w:rPr>
        <w:t xml:space="preserve">The development of this </w:t>
      </w:r>
      <w:r w:rsidR="00C92684">
        <w:rPr>
          <w:rFonts w:ascii="Calibri" w:hAnsi="Calibri"/>
        </w:rPr>
        <w:t xml:space="preserve">inaugural </w:t>
      </w:r>
      <w:r>
        <w:rPr>
          <w:rFonts w:ascii="Calibri" w:hAnsi="Calibri"/>
        </w:rPr>
        <w:t xml:space="preserve">RPF </w:t>
      </w:r>
      <w:r w:rsidR="00C92684">
        <w:rPr>
          <w:rFonts w:ascii="Calibri" w:hAnsi="Calibri"/>
        </w:rPr>
        <w:t>self-assessment has highlighted to NOPTA that the performance measures and metrics</w:t>
      </w:r>
      <w:r>
        <w:rPr>
          <w:rFonts w:ascii="Calibri" w:hAnsi="Calibri"/>
        </w:rPr>
        <w:t>,</w:t>
      </w:r>
      <w:r w:rsidR="00C92684">
        <w:rPr>
          <w:rFonts w:ascii="Calibri" w:hAnsi="Calibri"/>
        </w:rPr>
        <w:t xml:space="preserve"> developed against each of the KPIs</w:t>
      </w:r>
      <w:r>
        <w:rPr>
          <w:rFonts w:ascii="Calibri" w:hAnsi="Calibri"/>
        </w:rPr>
        <w:t>,</w:t>
      </w:r>
      <w:r w:rsidR="00C92684">
        <w:rPr>
          <w:rFonts w:ascii="Calibri" w:hAnsi="Calibri"/>
        </w:rPr>
        <w:t xml:space="preserve"> will need to be reviewed to determine their ongoing appropriateness and efficacy, </w:t>
      </w:r>
      <w:r w:rsidR="00D91960">
        <w:rPr>
          <w:rFonts w:ascii="Calibri" w:hAnsi="Calibri"/>
        </w:rPr>
        <w:t xml:space="preserve">especially for </w:t>
      </w:r>
      <w:r w:rsidR="00C92684">
        <w:rPr>
          <w:rFonts w:ascii="Calibri" w:hAnsi="Calibri"/>
        </w:rPr>
        <w:t>KPI 3. NOPTA will also refine how it collects evidence against each KPI</w:t>
      </w:r>
      <w:r w:rsidR="00D91960">
        <w:rPr>
          <w:rFonts w:ascii="Calibri" w:hAnsi="Calibri"/>
        </w:rPr>
        <w:t xml:space="preserve"> </w:t>
      </w:r>
      <w:r w:rsidR="00246BC6">
        <w:rPr>
          <w:rFonts w:ascii="Calibri" w:hAnsi="Calibri"/>
        </w:rPr>
        <w:t>with this self-assessment providing a baseline for future self-assessments.</w:t>
      </w:r>
      <w:r w:rsidR="00C92684">
        <w:rPr>
          <w:rFonts w:ascii="Calibri" w:hAnsi="Calibri"/>
        </w:rPr>
        <w:t xml:space="preserve"> </w:t>
      </w:r>
    </w:p>
    <w:p w14:paraId="2538BC10" w14:textId="77777777" w:rsidR="00C92684" w:rsidRDefault="00C92684" w:rsidP="005A46C3">
      <w:pPr>
        <w:spacing w:after="0" w:line="240" w:lineRule="auto"/>
        <w:rPr>
          <w:rFonts w:ascii="Calibri" w:hAnsi="Calibri"/>
        </w:rPr>
      </w:pPr>
    </w:p>
    <w:p w14:paraId="02B63AB0" w14:textId="3F62BD25" w:rsidR="00C92684" w:rsidRPr="00285375" w:rsidRDefault="00C92684" w:rsidP="00C92684">
      <w:pPr>
        <w:spacing w:line="240" w:lineRule="auto"/>
        <w:rPr>
          <w:rFonts w:cs="Arial"/>
        </w:rPr>
      </w:pPr>
      <w:r>
        <w:rPr>
          <w:rFonts w:cs="Arial"/>
        </w:rPr>
        <w:t>In</w:t>
      </w:r>
      <w:r w:rsidRPr="00285375">
        <w:rPr>
          <w:rFonts w:cs="Arial"/>
        </w:rPr>
        <w:t xml:space="preserve"> 2015-16 there were </w:t>
      </w:r>
      <w:r>
        <w:rPr>
          <w:rFonts w:cs="Arial"/>
        </w:rPr>
        <w:t>478</w:t>
      </w:r>
      <w:r w:rsidRPr="00285375">
        <w:rPr>
          <w:rFonts w:cs="Arial"/>
        </w:rPr>
        <w:t xml:space="preserve"> decisions</w:t>
      </w:r>
      <w:r>
        <w:rPr>
          <w:rFonts w:cs="Arial"/>
        </w:rPr>
        <w:t xml:space="preserve"> (compared to</w:t>
      </w:r>
      <w:r w:rsidR="00891A64">
        <w:rPr>
          <w:rFonts w:cs="Arial"/>
        </w:rPr>
        <w:t xml:space="preserve"> </w:t>
      </w:r>
      <w:r>
        <w:rPr>
          <w:rFonts w:cs="Arial"/>
        </w:rPr>
        <w:t>573 in 2014-15)</w:t>
      </w:r>
      <w:r w:rsidRPr="00285375">
        <w:rPr>
          <w:rFonts w:cs="Arial"/>
        </w:rPr>
        <w:t xml:space="preserve"> made </w:t>
      </w:r>
      <w:r w:rsidR="00D91960">
        <w:rPr>
          <w:rFonts w:cs="Arial"/>
        </w:rPr>
        <w:t>for</w:t>
      </w:r>
      <w:r w:rsidRPr="00285375">
        <w:rPr>
          <w:rFonts w:cs="Arial"/>
        </w:rPr>
        <w:t xml:space="preserve"> applications </w:t>
      </w:r>
      <w:r w:rsidR="00D91960">
        <w:rPr>
          <w:rFonts w:cs="Arial"/>
        </w:rPr>
        <w:t>related to</w:t>
      </w:r>
      <w:r w:rsidR="00D91960" w:rsidRPr="00285375">
        <w:rPr>
          <w:rFonts w:cs="Arial"/>
        </w:rPr>
        <w:t xml:space="preserve"> </w:t>
      </w:r>
      <w:r w:rsidRPr="00285375">
        <w:rPr>
          <w:rFonts w:cs="Arial"/>
        </w:rPr>
        <w:t xml:space="preserve">offshore petroleum titles. NOPTA provided advice to the Joint Authority for decisions on </w:t>
      </w:r>
      <w:r>
        <w:rPr>
          <w:rFonts w:cs="Arial"/>
        </w:rPr>
        <w:t>254</w:t>
      </w:r>
      <w:r w:rsidRPr="00285375">
        <w:rPr>
          <w:rFonts w:cs="Arial"/>
        </w:rPr>
        <w:t xml:space="preserve"> applications and the Titles Administrator made </w:t>
      </w:r>
      <w:r>
        <w:rPr>
          <w:rFonts w:cs="Arial"/>
        </w:rPr>
        <w:t>224</w:t>
      </w:r>
      <w:r w:rsidRPr="00285375">
        <w:rPr>
          <w:rFonts w:cs="Arial"/>
        </w:rPr>
        <w:t xml:space="preserve"> decisions. Table 1 illustrates the decisions made by the responsible authority and by jurisdiction. </w:t>
      </w:r>
      <w:r>
        <w:rPr>
          <w:rFonts w:cs="Arial"/>
        </w:rPr>
        <w:t xml:space="preserve">Figure 1 displays the proportion of decisions made each responsible authority. </w:t>
      </w:r>
    </w:p>
    <w:tbl>
      <w:tblPr>
        <w:tblW w:w="8647" w:type="dxa"/>
        <w:tblCellMar>
          <w:left w:w="0" w:type="dxa"/>
          <w:right w:w="0" w:type="dxa"/>
        </w:tblCellMar>
        <w:tblLook w:val="04A0" w:firstRow="1" w:lastRow="0" w:firstColumn="1" w:lastColumn="0" w:noHBand="0" w:noVBand="1"/>
        <w:tblCaption w:val="Table 1 illustrates the decisions made by the responsible authority and by jurisdiction."/>
      </w:tblPr>
      <w:tblGrid>
        <w:gridCol w:w="3402"/>
        <w:gridCol w:w="551"/>
        <w:gridCol w:w="725"/>
        <w:gridCol w:w="567"/>
        <w:gridCol w:w="567"/>
        <w:gridCol w:w="709"/>
        <w:gridCol w:w="709"/>
        <w:gridCol w:w="592"/>
        <w:gridCol w:w="825"/>
      </w:tblGrid>
      <w:tr w:rsidR="00C92684" w14:paraId="2234FB9C" w14:textId="77777777" w:rsidTr="00C267D5">
        <w:trPr>
          <w:trHeight w:val="237"/>
          <w:tblHeader/>
        </w:trPr>
        <w:tc>
          <w:tcPr>
            <w:tcW w:w="3402" w:type="dxa"/>
            <w:tcBorders>
              <w:top w:val="single" w:sz="8" w:space="0" w:color="F79646"/>
              <w:left w:val="nil"/>
              <w:bottom w:val="nil"/>
              <w:right w:val="nil"/>
            </w:tcBorders>
            <w:shd w:val="clear" w:color="auto" w:fill="F79646"/>
            <w:noWrap/>
            <w:tcMar>
              <w:top w:w="0" w:type="dxa"/>
              <w:left w:w="108" w:type="dxa"/>
              <w:bottom w:w="0" w:type="dxa"/>
              <w:right w:w="108" w:type="dxa"/>
            </w:tcMar>
            <w:vAlign w:val="bottom"/>
            <w:hideMark/>
          </w:tcPr>
          <w:p w14:paraId="23F62C9C" w14:textId="77777777" w:rsidR="00C92684" w:rsidRDefault="00C92684" w:rsidP="004A2B1E">
            <w:pPr>
              <w:spacing w:line="240" w:lineRule="auto"/>
              <w:rPr>
                <w:b/>
                <w:bCs/>
                <w:color w:val="FFFFFF"/>
                <w:lang w:eastAsia="en-AU"/>
              </w:rPr>
            </w:pPr>
            <w:r>
              <w:rPr>
                <w:b/>
                <w:bCs/>
                <w:color w:val="FFFFFF"/>
                <w:lang w:eastAsia="en-AU"/>
              </w:rPr>
              <w:t> Table 1 – Decisions by Jurisdiction</w:t>
            </w:r>
          </w:p>
        </w:tc>
        <w:tc>
          <w:tcPr>
            <w:tcW w:w="5245" w:type="dxa"/>
            <w:gridSpan w:val="8"/>
            <w:tcBorders>
              <w:top w:val="single" w:sz="8" w:space="0" w:color="F79646"/>
              <w:left w:val="nil"/>
              <w:bottom w:val="single" w:sz="8" w:space="0" w:color="F79646"/>
              <w:right w:val="nil"/>
            </w:tcBorders>
            <w:shd w:val="clear" w:color="auto" w:fill="F79646"/>
            <w:noWrap/>
            <w:tcMar>
              <w:top w:w="0" w:type="dxa"/>
              <w:left w:w="108" w:type="dxa"/>
              <w:bottom w:w="0" w:type="dxa"/>
              <w:right w:w="108" w:type="dxa"/>
            </w:tcMar>
            <w:vAlign w:val="bottom"/>
            <w:hideMark/>
          </w:tcPr>
          <w:p w14:paraId="361A18C5" w14:textId="77777777" w:rsidR="00C92684" w:rsidRDefault="00C92684" w:rsidP="004A2B1E">
            <w:pPr>
              <w:spacing w:line="240" w:lineRule="auto"/>
              <w:jc w:val="center"/>
              <w:rPr>
                <w:b/>
                <w:bCs/>
                <w:color w:val="FFFFFF"/>
                <w:lang w:eastAsia="en-AU"/>
              </w:rPr>
            </w:pPr>
            <w:r>
              <w:rPr>
                <w:b/>
                <w:bCs/>
                <w:color w:val="FFFFFF"/>
                <w:lang w:eastAsia="en-AU"/>
              </w:rPr>
              <w:t>Jurisdiction</w:t>
            </w:r>
          </w:p>
        </w:tc>
      </w:tr>
      <w:tr w:rsidR="00C92684" w14:paraId="37F79F37" w14:textId="77777777" w:rsidTr="004A2B1E">
        <w:trPr>
          <w:trHeight w:val="237"/>
        </w:trPr>
        <w:tc>
          <w:tcPr>
            <w:tcW w:w="3402" w:type="dxa"/>
            <w:tcBorders>
              <w:top w:val="single" w:sz="8" w:space="0" w:color="F79646"/>
              <w:left w:val="nil"/>
              <w:bottom w:val="nil"/>
              <w:right w:val="nil"/>
            </w:tcBorders>
            <w:shd w:val="clear" w:color="auto" w:fill="FABF8F"/>
            <w:noWrap/>
            <w:tcMar>
              <w:top w:w="0" w:type="dxa"/>
              <w:left w:w="108" w:type="dxa"/>
              <w:bottom w:w="0" w:type="dxa"/>
              <w:right w:w="108" w:type="dxa"/>
            </w:tcMar>
            <w:vAlign w:val="bottom"/>
            <w:hideMark/>
          </w:tcPr>
          <w:p w14:paraId="65A5526E" w14:textId="77777777" w:rsidR="00C92684" w:rsidRDefault="00C92684" w:rsidP="004A2B1E">
            <w:pPr>
              <w:spacing w:line="240" w:lineRule="auto"/>
              <w:rPr>
                <w:b/>
                <w:bCs/>
                <w:color w:val="FFFFFF"/>
                <w:lang w:eastAsia="en-AU"/>
              </w:rPr>
            </w:pPr>
            <w:r>
              <w:rPr>
                <w:b/>
                <w:bCs/>
                <w:color w:val="FFFFFF"/>
                <w:lang w:eastAsia="en-AU"/>
              </w:rPr>
              <w:t>Decision Maker</w:t>
            </w:r>
          </w:p>
        </w:tc>
        <w:tc>
          <w:tcPr>
            <w:tcW w:w="551" w:type="dxa"/>
            <w:noWrap/>
            <w:tcMar>
              <w:top w:w="0" w:type="dxa"/>
              <w:left w:w="108" w:type="dxa"/>
              <w:bottom w:w="0" w:type="dxa"/>
              <w:right w:w="108" w:type="dxa"/>
            </w:tcMar>
            <w:vAlign w:val="bottom"/>
            <w:hideMark/>
          </w:tcPr>
          <w:p w14:paraId="12584019" w14:textId="77777777" w:rsidR="00C92684" w:rsidRDefault="00C92684" w:rsidP="004A2B1E">
            <w:pPr>
              <w:spacing w:line="240" w:lineRule="auto"/>
              <w:jc w:val="center"/>
              <w:rPr>
                <w:lang w:eastAsia="en-AU"/>
              </w:rPr>
            </w:pPr>
            <w:r>
              <w:rPr>
                <w:lang w:eastAsia="en-AU"/>
              </w:rPr>
              <w:t>WA</w:t>
            </w:r>
          </w:p>
        </w:tc>
        <w:tc>
          <w:tcPr>
            <w:tcW w:w="725" w:type="dxa"/>
            <w:noWrap/>
            <w:tcMar>
              <w:top w:w="0" w:type="dxa"/>
              <w:left w:w="108" w:type="dxa"/>
              <w:bottom w:w="0" w:type="dxa"/>
              <w:right w:w="108" w:type="dxa"/>
            </w:tcMar>
            <w:vAlign w:val="bottom"/>
            <w:hideMark/>
          </w:tcPr>
          <w:p w14:paraId="5E9FB567" w14:textId="77777777" w:rsidR="00C92684" w:rsidRDefault="00C92684" w:rsidP="004A2B1E">
            <w:pPr>
              <w:spacing w:line="240" w:lineRule="auto"/>
              <w:jc w:val="center"/>
              <w:rPr>
                <w:lang w:eastAsia="en-AU"/>
              </w:rPr>
            </w:pPr>
            <w:r>
              <w:rPr>
                <w:lang w:eastAsia="en-AU"/>
              </w:rPr>
              <w:t>SA</w:t>
            </w:r>
          </w:p>
        </w:tc>
        <w:tc>
          <w:tcPr>
            <w:tcW w:w="567" w:type="dxa"/>
            <w:noWrap/>
            <w:tcMar>
              <w:top w:w="0" w:type="dxa"/>
              <w:left w:w="108" w:type="dxa"/>
              <w:bottom w:w="0" w:type="dxa"/>
              <w:right w:w="108" w:type="dxa"/>
            </w:tcMar>
            <w:vAlign w:val="bottom"/>
            <w:hideMark/>
          </w:tcPr>
          <w:p w14:paraId="2FFF24B5" w14:textId="77777777" w:rsidR="00C92684" w:rsidRDefault="00C92684" w:rsidP="004A2B1E">
            <w:pPr>
              <w:spacing w:line="240" w:lineRule="auto"/>
              <w:jc w:val="center"/>
              <w:rPr>
                <w:lang w:eastAsia="en-AU"/>
              </w:rPr>
            </w:pPr>
            <w:r>
              <w:rPr>
                <w:lang w:eastAsia="en-AU"/>
              </w:rPr>
              <w:t>NT</w:t>
            </w:r>
          </w:p>
        </w:tc>
        <w:tc>
          <w:tcPr>
            <w:tcW w:w="567" w:type="dxa"/>
            <w:noWrap/>
            <w:tcMar>
              <w:top w:w="0" w:type="dxa"/>
              <w:left w:w="108" w:type="dxa"/>
              <w:bottom w:w="0" w:type="dxa"/>
              <w:right w:w="108" w:type="dxa"/>
            </w:tcMar>
            <w:vAlign w:val="bottom"/>
            <w:hideMark/>
          </w:tcPr>
          <w:p w14:paraId="6A3009FE" w14:textId="77777777" w:rsidR="00C92684" w:rsidRDefault="00C92684" w:rsidP="004A2B1E">
            <w:pPr>
              <w:spacing w:line="240" w:lineRule="auto"/>
              <w:jc w:val="center"/>
              <w:rPr>
                <w:lang w:eastAsia="en-AU"/>
              </w:rPr>
            </w:pPr>
            <w:r>
              <w:rPr>
                <w:lang w:eastAsia="en-AU"/>
              </w:rPr>
              <w:t>VIC</w:t>
            </w:r>
          </w:p>
        </w:tc>
        <w:tc>
          <w:tcPr>
            <w:tcW w:w="709" w:type="dxa"/>
            <w:noWrap/>
            <w:tcMar>
              <w:top w:w="0" w:type="dxa"/>
              <w:left w:w="108" w:type="dxa"/>
              <w:bottom w:w="0" w:type="dxa"/>
              <w:right w:w="108" w:type="dxa"/>
            </w:tcMar>
            <w:vAlign w:val="bottom"/>
            <w:hideMark/>
          </w:tcPr>
          <w:p w14:paraId="4FFC5819" w14:textId="77777777" w:rsidR="00C92684" w:rsidRDefault="00C92684" w:rsidP="004A2B1E">
            <w:pPr>
              <w:spacing w:line="240" w:lineRule="auto"/>
              <w:jc w:val="center"/>
              <w:rPr>
                <w:lang w:eastAsia="en-AU"/>
              </w:rPr>
            </w:pPr>
            <w:r>
              <w:rPr>
                <w:lang w:eastAsia="en-AU"/>
              </w:rPr>
              <w:t>AC</w:t>
            </w:r>
          </w:p>
        </w:tc>
        <w:tc>
          <w:tcPr>
            <w:tcW w:w="709" w:type="dxa"/>
            <w:noWrap/>
            <w:tcMar>
              <w:top w:w="0" w:type="dxa"/>
              <w:left w:w="108" w:type="dxa"/>
              <w:bottom w:w="0" w:type="dxa"/>
              <w:right w:w="108" w:type="dxa"/>
            </w:tcMar>
            <w:vAlign w:val="bottom"/>
            <w:hideMark/>
          </w:tcPr>
          <w:p w14:paraId="1ECC9678" w14:textId="77777777" w:rsidR="00C92684" w:rsidRDefault="00C92684" w:rsidP="004A2B1E">
            <w:pPr>
              <w:spacing w:line="240" w:lineRule="auto"/>
              <w:jc w:val="center"/>
              <w:rPr>
                <w:lang w:eastAsia="en-AU"/>
              </w:rPr>
            </w:pPr>
            <w:r>
              <w:rPr>
                <w:lang w:eastAsia="en-AU"/>
              </w:rPr>
              <w:t>NSW</w:t>
            </w:r>
          </w:p>
        </w:tc>
        <w:tc>
          <w:tcPr>
            <w:tcW w:w="592" w:type="dxa"/>
            <w:noWrap/>
            <w:tcMar>
              <w:top w:w="0" w:type="dxa"/>
              <w:left w:w="108" w:type="dxa"/>
              <w:bottom w:w="0" w:type="dxa"/>
              <w:right w:w="108" w:type="dxa"/>
            </w:tcMar>
            <w:vAlign w:val="bottom"/>
            <w:hideMark/>
          </w:tcPr>
          <w:p w14:paraId="29B535D6" w14:textId="77777777" w:rsidR="00C92684" w:rsidRDefault="00C92684" w:rsidP="004A2B1E">
            <w:pPr>
              <w:spacing w:line="240" w:lineRule="auto"/>
              <w:jc w:val="center"/>
              <w:rPr>
                <w:lang w:eastAsia="en-AU"/>
              </w:rPr>
            </w:pPr>
            <w:r>
              <w:rPr>
                <w:lang w:eastAsia="en-AU"/>
              </w:rPr>
              <w:t>QLD</w:t>
            </w:r>
          </w:p>
        </w:tc>
        <w:tc>
          <w:tcPr>
            <w:tcW w:w="825" w:type="dxa"/>
            <w:noWrap/>
            <w:tcMar>
              <w:top w:w="0" w:type="dxa"/>
              <w:left w:w="108" w:type="dxa"/>
              <w:bottom w:w="0" w:type="dxa"/>
              <w:right w:w="108" w:type="dxa"/>
            </w:tcMar>
            <w:vAlign w:val="bottom"/>
            <w:hideMark/>
          </w:tcPr>
          <w:p w14:paraId="27DF2E15" w14:textId="77777777" w:rsidR="00C92684" w:rsidRDefault="00C92684" w:rsidP="004A2B1E">
            <w:pPr>
              <w:spacing w:line="240" w:lineRule="auto"/>
              <w:jc w:val="center"/>
              <w:rPr>
                <w:lang w:eastAsia="en-AU"/>
              </w:rPr>
            </w:pPr>
            <w:r>
              <w:rPr>
                <w:lang w:eastAsia="en-AU"/>
              </w:rPr>
              <w:t>TAS</w:t>
            </w:r>
          </w:p>
        </w:tc>
      </w:tr>
      <w:tr w:rsidR="00C92684" w14:paraId="640EA0E7" w14:textId="77777777" w:rsidTr="004A2B1E">
        <w:trPr>
          <w:trHeight w:val="237"/>
        </w:trPr>
        <w:tc>
          <w:tcPr>
            <w:tcW w:w="3402" w:type="dxa"/>
            <w:shd w:val="clear" w:color="auto" w:fill="FABF8F"/>
            <w:noWrap/>
            <w:tcMar>
              <w:top w:w="0" w:type="dxa"/>
              <w:left w:w="108" w:type="dxa"/>
              <w:bottom w:w="0" w:type="dxa"/>
              <w:right w:w="108" w:type="dxa"/>
            </w:tcMar>
            <w:vAlign w:val="bottom"/>
            <w:hideMark/>
          </w:tcPr>
          <w:p w14:paraId="31A3D4AD" w14:textId="77777777" w:rsidR="00C92684" w:rsidRDefault="00C92684" w:rsidP="004A2B1E">
            <w:pPr>
              <w:spacing w:line="240" w:lineRule="auto"/>
              <w:rPr>
                <w:b/>
                <w:bCs/>
                <w:color w:val="FFFFFF"/>
                <w:lang w:eastAsia="en-AU"/>
              </w:rPr>
            </w:pPr>
            <w:r>
              <w:rPr>
                <w:b/>
                <w:bCs/>
                <w:color w:val="FFFFFF"/>
                <w:lang w:eastAsia="en-AU"/>
              </w:rPr>
              <w:t>Joint Authority</w:t>
            </w:r>
          </w:p>
        </w:tc>
        <w:tc>
          <w:tcPr>
            <w:tcW w:w="551" w:type="dxa"/>
            <w:shd w:val="clear" w:color="auto" w:fill="FDE9D9"/>
            <w:noWrap/>
            <w:tcMar>
              <w:top w:w="0" w:type="dxa"/>
              <w:left w:w="108" w:type="dxa"/>
              <w:bottom w:w="0" w:type="dxa"/>
              <w:right w:w="108" w:type="dxa"/>
            </w:tcMar>
            <w:vAlign w:val="bottom"/>
            <w:hideMark/>
          </w:tcPr>
          <w:p w14:paraId="7522C690" w14:textId="77777777" w:rsidR="00C92684" w:rsidRDefault="00C92684" w:rsidP="004A2B1E">
            <w:pPr>
              <w:spacing w:line="240" w:lineRule="auto"/>
              <w:jc w:val="right"/>
              <w:rPr>
                <w:lang w:eastAsia="en-AU"/>
              </w:rPr>
            </w:pPr>
            <w:r>
              <w:rPr>
                <w:lang w:eastAsia="en-AU"/>
              </w:rPr>
              <w:t>192</w:t>
            </w:r>
          </w:p>
        </w:tc>
        <w:tc>
          <w:tcPr>
            <w:tcW w:w="725" w:type="dxa"/>
            <w:shd w:val="clear" w:color="auto" w:fill="FDE9D9"/>
            <w:noWrap/>
            <w:tcMar>
              <w:top w:w="0" w:type="dxa"/>
              <w:left w:w="108" w:type="dxa"/>
              <w:bottom w:w="0" w:type="dxa"/>
              <w:right w:w="108" w:type="dxa"/>
            </w:tcMar>
            <w:vAlign w:val="bottom"/>
            <w:hideMark/>
          </w:tcPr>
          <w:p w14:paraId="52287AB9" w14:textId="77777777" w:rsidR="00C92684" w:rsidRDefault="00C92684" w:rsidP="004A2B1E">
            <w:pPr>
              <w:spacing w:line="240" w:lineRule="auto"/>
              <w:jc w:val="right"/>
              <w:rPr>
                <w:lang w:eastAsia="en-AU"/>
              </w:rPr>
            </w:pPr>
            <w:r>
              <w:rPr>
                <w:lang w:eastAsia="en-AU"/>
              </w:rPr>
              <w:t>7</w:t>
            </w:r>
          </w:p>
        </w:tc>
        <w:tc>
          <w:tcPr>
            <w:tcW w:w="567" w:type="dxa"/>
            <w:shd w:val="clear" w:color="auto" w:fill="FDE9D9"/>
            <w:noWrap/>
            <w:tcMar>
              <w:top w:w="0" w:type="dxa"/>
              <w:left w:w="108" w:type="dxa"/>
              <w:bottom w:w="0" w:type="dxa"/>
              <w:right w:w="108" w:type="dxa"/>
            </w:tcMar>
            <w:vAlign w:val="bottom"/>
            <w:hideMark/>
          </w:tcPr>
          <w:p w14:paraId="75F8E126" w14:textId="77777777" w:rsidR="00C92684" w:rsidRDefault="00C92684" w:rsidP="004A2B1E">
            <w:pPr>
              <w:spacing w:line="240" w:lineRule="auto"/>
              <w:jc w:val="right"/>
              <w:rPr>
                <w:lang w:eastAsia="en-AU"/>
              </w:rPr>
            </w:pPr>
            <w:r>
              <w:rPr>
                <w:lang w:eastAsia="en-AU"/>
              </w:rPr>
              <w:t>9</w:t>
            </w:r>
          </w:p>
        </w:tc>
        <w:tc>
          <w:tcPr>
            <w:tcW w:w="567" w:type="dxa"/>
            <w:shd w:val="clear" w:color="auto" w:fill="FDE9D9"/>
            <w:noWrap/>
            <w:tcMar>
              <w:top w:w="0" w:type="dxa"/>
              <w:left w:w="108" w:type="dxa"/>
              <w:bottom w:w="0" w:type="dxa"/>
              <w:right w:w="108" w:type="dxa"/>
            </w:tcMar>
            <w:vAlign w:val="bottom"/>
            <w:hideMark/>
          </w:tcPr>
          <w:p w14:paraId="67E255C1" w14:textId="77777777" w:rsidR="00C92684" w:rsidRDefault="00C92684" w:rsidP="004A2B1E">
            <w:pPr>
              <w:spacing w:line="240" w:lineRule="auto"/>
              <w:jc w:val="right"/>
              <w:rPr>
                <w:lang w:eastAsia="en-AU"/>
              </w:rPr>
            </w:pPr>
            <w:r>
              <w:rPr>
                <w:lang w:eastAsia="en-AU"/>
              </w:rPr>
              <w:t>11</w:t>
            </w:r>
          </w:p>
        </w:tc>
        <w:tc>
          <w:tcPr>
            <w:tcW w:w="709" w:type="dxa"/>
            <w:shd w:val="clear" w:color="auto" w:fill="FDE9D9"/>
            <w:noWrap/>
            <w:tcMar>
              <w:top w:w="0" w:type="dxa"/>
              <w:left w:w="108" w:type="dxa"/>
              <w:bottom w:w="0" w:type="dxa"/>
              <w:right w:w="108" w:type="dxa"/>
            </w:tcMar>
            <w:vAlign w:val="bottom"/>
            <w:hideMark/>
          </w:tcPr>
          <w:p w14:paraId="7100BD21" w14:textId="77777777" w:rsidR="00C92684" w:rsidRDefault="00C92684" w:rsidP="004A2B1E">
            <w:pPr>
              <w:spacing w:line="240" w:lineRule="auto"/>
              <w:jc w:val="right"/>
              <w:rPr>
                <w:lang w:eastAsia="en-AU"/>
              </w:rPr>
            </w:pPr>
            <w:r>
              <w:rPr>
                <w:lang w:eastAsia="en-AU"/>
              </w:rPr>
              <w:t>22</w:t>
            </w:r>
          </w:p>
        </w:tc>
        <w:tc>
          <w:tcPr>
            <w:tcW w:w="709" w:type="dxa"/>
            <w:shd w:val="clear" w:color="auto" w:fill="FDE9D9"/>
            <w:noWrap/>
            <w:tcMar>
              <w:top w:w="0" w:type="dxa"/>
              <w:left w:w="108" w:type="dxa"/>
              <w:bottom w:w="0" w:type="dxa"/>
              <w:right w:w="108" w:type="dxa"/>
            </w:tcMar>
            <w:vAlign w:val="bottom"/>
            <w:hideMark/>
          </w:tcPr>
          <w:p w14:paraId="44648A08" w14:textId="77777777" w:rsidR="00C92684" w:rsidRDefault="00C92684" w:rsidP="004A2B1E">
            <w:pPr>
              <w:spacing w:line="240" w:lineRule="auto"/>
              <w:jc w:val="right"/>
              <w:rPr>
                <w:lang w:eastAsia="en-AU"/>
              </w:rPr>
            </w:pPr>
            <w:r>
              <w:rPr>
                <w:lang w:eastAsia="en-AU"/>
              </w:rPr>
              <w:t>2</w:t>
            </w:r>
          </w:p>
        </w:tc>
        <w:tc>
          <w:tcPr>
            <w:tcW w:w="592" w:type="dxa"/>
            <w:shd w:val="clear" w:color="auto" w:fill="FDE9D9"/>
            <w:noWrap/>
            <w:tcMar>
              <w:top w:w="0" w:type="dxa"/>
              <w:left w:w="108" w:type="dxa"/>
              <w:bottom w:w="0" w:type="dxa"/>
              <w:right w:w="108" w:type="dxa"/>
            </w:tcMar>
            <w:vAlign w:val="bottom"/>
            <w:hideMark/>
          </w:tcPr>
          <w:p w14:paraId="6010363D" w14:textId="77777777" w:rsidR="00C92684" w:rsidRDefault="00C92684" w:rsidP="004A2B1E">
            <w:pPr>
              <w:spacing w:line="240" w:lineRule="auto"/>
              <w:jc w:val="right"/>
              <w:rPr>
                <w:lang w:eastAsia="en-AU"/>
              </w:rPr>
            </w:pPr>
            <w:r>
              <w:rPr>
                <w:lang w:eastAsia="en-AU"/>
              </w:rPr>
              <w:t>1</w:t>
            </w:r>
          </w:p>
        </w:tc>
        <w:tc>
          <w:tcPr>
            <w:tcW w:w="825" w:type="dxa"/>
            <w:shd w:val="clear" w:color="auto" w:fill="FDE9D9"/>
            <w:noWrap/>
            <w:tcMar>
              <w:top w:w="0" w:type="dxa"/>
              <w:left w:w="108" w:type="dxa"/>
              <w:bottom w:w="0" w:type="dxa"/>
              <w:right w:w="108" w:type="dxa"/>
            </w:tcMar>
            <w:vAlign w:val="bottom"/>
            <w:hideMark/>
          </w:tcPr>
          <w:p w14:paraId="68FD9A20" w14:textId="77777777" w:rsidR="00C92684" w:rsidRDefault="00C92684" w:rsidP="004A2B1E">
            <w:pPr>
              <w:spacing w:line="240" w:lineRule="auto"/>
              <w:jc w:val="right"/>
              <w:rPr>
                <w:lang w:eastAsia="en-AU"/>
              </w:rPr>
            </w:pPr>
            <w:r>
              <w:rPr>
                <w:lang w:eastAsia="en-AU"/>
              </w:rPr>
              <w:t>10</w:t>
            </w:r>
          </w:p>
        </w:tc>
      </w:tr>
      <w:tr w:rsidR="00C92684" w14:paraId="49C42ADA" w14:textId="77777777" w:rsidTr="004A2B1E">
        <w:trPr>
          <w:trHeight w:val="237"/>
        </w:trPr>
        <w:tc>
          <w:tcPr>
            <w:tcW w:w="3402" w:type="dxa"/>
            <w:shd w:val="clear" w:color="auto" w:fill="FABF8F"/>
            <w:noWrap/>
            <w:tcMar>
              <w:top w:w="0" w:type="dxa"/>
              <w:left w:w="108" w:type="dxa"/>
              <w:bottom w:w="0" w:type="dxa"/>
              <w:right w:w="108" w:type="dxa"/>
            </w:tcMar>
            <w:vAlign w:val="bottom"/>
            <w:hideMark/>
          </w:tcPr>
          <w:p w14:paraId="203FB19C" w14:textId="77777777" w:rsidR="00C92684" w:rsidRDefault="00C92684" w:rsidP="004A2B1E">
            <w:pPr>
              <w:spacing w:line="240" w:lineRule="auto"/>
              <w:rPr>
                <w:b/>
                <w:bCs/>
                <w:color w:val="FFFFFF"/>
                <w:lang w:eastAsia="en-AU"/>
              </w:rPr>
            </w:pPr>
            <w:r>
              <w:rPr>
                <w:b/>
                <w:bCs/>
                <w:color w:val="FFFFFF"/>
                <w:lang w:eastAsia="en-AU"/>
              </w:rPr>
              <w:t>Titles Administrator</w:t>
            </w:r>
          </w:p>
        </w:tc>
        <w:tc>
          <w:tcPr>
            <w:tcW w:w="551" w:type="dxa"/>
            <w:noWrap/>
            <w:tcMar>
              <w:top w:w="0" w:type="dxa"/>
              <w:left w:w="108" w:type="dxa"/>
              <w:bottom w:w="0" w:type="dxa"/>
              <w:right w:w="108" w:type="dxa"/>
            </w:tcMar>
            <w:vAlign w:val="bottom"/>
            <w:hideMark/>
          </w:tcPr>
          <w:p w14:paraId="468D7288" w14:textId="77777777" w:rsidR="00C92684" w:rsidRDefault="00C92684" w:rsidP="004A2B1E">
            <w:pPr>
              <w:spacing w:line="240" w:lineRule="auto"/>
              <w:jc w:val="right"/>
              <w:rPr>
                <w:lang w:eastAsia="en-AU"/>
              </w:rPr>
            </w:pPr>
            <w:r>
              <w:rPr>
                <w:lang w:eastAsia="en-AU"/>
              </w:rPr>
              <w:t>158</w:t>
            </w:r>
          </w:p>
        </w:tc>
        <w:tc>
          <w:tcPr>
            <w:tcW w:w="725" w:type="dxa"/>
            <w:noWrap/>
            <w:tcMar>
              <w:top w:w="0" w:type="dxa"/>
              <w:left w:w="108" w:type="dxa"/>
              <w:bottom w:w="0" w:type="dxa"/>
              <w:right w:w="108" w:type="dxa"/>
            </w:tcMar>
            <w:vAlign w:val="bottom"/>
            <w:hideMark/>
          </w:tcPr>
          <w:p w14:paraId="3B6FA279" w14:textId="77777777" w:rsidR="00C92684" w:rsidRDefault="00C92684" w:rsidP="004A2B1E">
            <w:pPr>
              <w:spacing w:line="240" w:lineRule="auto"/>
              <w:jc w:val="right"/>
              <w:rPr>
                <w:lang w:eastAsia="en-AU"/>
              </w:rPr>
            </w:pPr>
            <w:r>
              <w:rPr>
                <w:lang w:eastAsia="en-AU"/>
              </w:rPr>
              <w:t>0</w:t>
            </w:r>
          </w:p>
        </w:tc>
        <w:tc>
          <w:tcPr>
            <w:tcW w:w="567" w:type="dxa"/>
            <w:noWrap/>
            <w:tcMar>
              <w:top w:w="0" w:type="dxa"/>
              <w:left w:w="108" w:type="dxa"/>
              <w:bottom w:w="0" w:type="dxa"/>
              <w:right w:w="108" w:type="dxa"/>
            </w:tcMar>
            <w:vAlign w:val="bottom"/>
            <w:hideMark/>
          </w:tcPr>
          <w:p w14:paraId="44B8D858" w14:textId="77777777" w:rsidR="00C92684" w:rsidRDefault="00C92684" w:rsidP="004A2B1E">
            <w:pPr>
              <w:spacing w:line="240" w:lineRule="auto"/>
              <w:jc w:val="right"/>
              <w:rPr>
                <w:lang w:eastAsia="en-AU"/>
              </w:rPr>
            </w:pPr>
            <w:r>
              <w:rPr>
                <w:lang w:eastAsia="en-AU"/>
              </w:rPr>
              <w:t>7</w:t>
            </w:r>
          </w:p>
        </w:tc>
        <w:tc>
          <w:tcPr>
            <w:tcW w:w="567" w:type="dxa"/>
            <w:noWrap/>
            <w:tcMar>
              <w:top w:w="0" w:type="dxa"/>
              <w:left w:w="108" w:type="dxa"/>
              <w:bottom w:w="0" w:type="dxa"/>
              <w:right w:w="108" w:type="dxa"/>
            </w:tcMar>
            <w:vAlign w:val="bottom"/>
            <w:hideMark/>
          </w:tcPr>
          <w:p w14:paraId="02508063" w14:textId="77777777" w:rsidR="00C92684" w:rsidRDefault="00C92684" w:rsidP="004A2B1E">
            <w:pPr>
              <w:spacing w:line="240" w:lineRule="auto"/>
              <w:jc w:val="right"/>
              <w:rPr>
                <w:lang w:eastAsia="en-AU"/>
              </w:rPr>
            </w:pPr>
            <w:r>
              <w:rPr>
                <w:lang w:eastAsia="en-AU"/>
              </w:rPr>
              <w:t>32</w:t>
            </w:r>
          </w:p>
        </w:tc>
        <w:tc>
          <w:tcPr>
            <w:tcW w:w="709" w:type="dxa"/>
            <w:noWrap/>
            <w:tcMar>
              <w:top w:w="0" w:type="dxa"/>
              <w:left w:w="108" w:type="dxa"/>
              <w:bottom w:w="0" w:type="dxa"/>
              <w:right w:w="108" w:type="dxa"/>
            </w:tcMar>
            <w:vAlign w:val="bottom"/>
            <w:hideMark/>
          </w:tcPr>
          <w:p w14:paraId="655A1654" w14:textId="77777777" w:rsidR="00C92684" w:rsidRDefault="00C92684" w:rsidP="004A2B1E">
            <w:pPr>
              <w:spacing w:line="240" w:lineRule="auto"/>
              <w:jc w:val="right"/>
              <w:rPr>
                <w:lang w:eastAsia="en-AU"/>
              </w:rPr>
            </w:pPr>
            <w:r>
              <w:rPr>
                <w:lang w:eastAsia="en-AU"/>
              </w:rPr>
              <w:t>23</w:t>
            </w:r>
          </w:p>
        </w:tc>
        <w:tc>
          <w:tcPr>
            <w:tcW w:w="709" w:type="dxa"/>
            <w:noWrap/>
            <w:tcMar>
              <w:top w:w="0" w:type="dxa"/>
              <w:left w:w="108" w:type="dxa"/>
              <w:bottom w:w="0" w:type="dxa"/>
              <w:right w:w="108" w:type="dxa"/>
            </w:tcMar>
            <w:vAlign w:val="bottom"/>
            <w:hideMark/>
          </w:tcPr>
          <w:p w14:paraId="4C176F7B" w14:textId="77777777" w:rsidR="00C92684" w:rsidRDefault="00C92684" w:rsidP="004A2B1E">
            <w:pPr>
              <w:spacing w:line="240" w:lineRule="auto"/>
              <w:jc w:val="right"/>
              <w:rPr>
                <w:lang w:eastAsia="en-AU"/>
              </w:rPr>
            </w:pPr>
            <w:r>
              <w:rPr>
                <w:lang w:eastAsia="en-AU"/>
              </w:rPr>
              <w:t>0</w:t>
            </w:r>
          </w:p>
        </w:tc>
        <w:tc>
          <w:tcPr>
            <w:tcW w:w="592" w:type="dxa"/>
            <w:noWrap/>
            <w:tcMar>
              <w:top w:w="0" w:type="dxa"/>
              <w:left w:w="108" w:type="dxa"/>
              <w:bottom w:w="0" w:type="dxa"/>
              <w:right w:w="108" w:type="dxa"/>
            </w:tcMar>
            <w:vAlign w:val="bottom"/>
            <w:hideMark/>
          </w:tcPr>
          <w:p w14:paraId="3A1C9FCB" w14:textId="77777777" w:rsidR="00C92684" w:rsidRDefault="00C92684" w:rsidP="004A2B1E">
            <w:pPr>
              <w:spacing w:line="240" w:lineRule="auto"/>
              <w:jc w:val="right"/>
              <w:rPr>
                <w:lang w:eastAsia="en-AU"/>
              </w:rPr>
            </w:pPr>
            <w:r>
              <w:rPr>
                <w:lang w:eastAsia="en-AU"/>
              </w:rPr>
              <w:t>0</w:t>
            </w:r>
          </w:p>
        </w:tc>
        <w:tc>
          <w:tcPr>
            <w:tcW w:w="825" w:type="dxa"/>
            <w:noWrap/>
            <w:tcMar>
              <w:top w:w="0" w:type="dxa"/>
              <w:left w:w="108" w:type="dxa"/>
              <w:bottom w:w="0" w:type="dxa"/>
              <w:right w:w="108" w:type="dxa"/>
            </w:tcMar>
            <w:vAlign w:val="bottom"/>
            <w:hideMark/>
          </w:tcPr>
          <w:p w14:paraId="772B0DFA" w14:textId="77777777" w:rsidR="00C92684" w:rsidRDefault="00C92684" w:rsidP="004A2B1E">
            <w:pPr>
              <w:spacing w:line="240" w:lineRule="auto"/>
              <w:jc w:val="right"/>
              <w:rPr>
                <w:lang w:eastAsia="en-AU"/>
              </w:rPr>
            </w:pPr>
            <w:r>
              <w:rPr>
                <w:lang w:eastAsia="en-AU"/>
              </w:rPr>
              <w:t>4</w:t>
            </w:r>
          </w:p>
        </w:tc>
      </w:tr>
      <w:tr w:rsidR="00C92684" w14:paraId="62B9EB3A" w14:textId="77777777" w:rsidTr="004A2B1E">
        <w:trPr>
          <w:trHeight w:val="237"/>
        </w:trPr>
        <w:tc>
          <w:tcPr>
            <w:tcW w:w="3402" w:type="dxa"/>
            <w:tcBorders>
              <w:top w:val="nil"/>
              <w:left w:val="nil"/>
              <w:bottom w:val="single" w:sz="8" w:space="0" w:color="F79646"/>
              <w:right w:val="nil"/>
            </w:tcBorders>
            <w:shd w:val="clear" w:color="auto" w:fill="FABF8F"/>
            <w:noWrap/>
            <w:tcMar>
              <w:top w:w="0" w:type="dxa"/>
              <w:left w:w="108" w:type="dxa"/>
              <w:bottom w:w="0" w:type="dxa"/>
              <w:right w:w="108" w:type="dxa"/>
            </w:tcMar>
            <w:vAlign w:val="bottom"/>
            <w:hideMark/>
          </w:tcPr>
          <w:p w14:paraId="05ACD0EE" w14:textId="77777777" w:rsidR="00C92684" w:rsidRDefault="00C92684" w:rsidP="004A2B1E">
            <w:pPr>
              <w:spacing w:line="240" w:lineRule="auto"/>
              <w:rPr>
                <w:b/>
                <w:bCs/>
                <w:color w:val="FFFFFF"/>
                <w:lang w:eastAsia="en-AU"/>
              </w:rPr>
            </w:pPr>
            <w:r>
              <w:rPr>
                <w:b/>
                <w:bCs/>
                <w:color w:val="FFFFFF"/>
                <w:lang w:eastAsia="en-AU"/>
              </w:rPr>
              <w:t>Total</w:t>
            </w:r>
          </w:p>
        </w:tc>
        <w:tc>
          <w:tcPr>
            <w:tcW w:w="551" w:type="dxa"/>
            <w:tcBorders>
              <w:top w:val="nil"/>
              <w:left w:val="nil"/>
              <w:bottom w:val="single" w:sz="8" w:space="0" w:color="F79646"/>
              <w:right w:val="nil"/>
            </w:tcBorders>
            <w:shd w:val="clear" w:color="auto" w:fill="FDE9D9"/>
            <w:noWrap/>
            <w:tcMar>
              <w:top w:w="0" w:type="dxa"/>
              <w:left w:w="108" w:type="dxa"/>
              <w:bottom w:w="0" w:type="dxa"/>
              <w:right w:w="108" w:type="dxa"/>
            </w:tcMar>
            <w:vAlign w:val="bottom"/>
            <w:hideMark/>
          </w:tcPr>
          <w:p w14:paraId="51D7E4DF" w14:textId="77777777" w:rsidR="00C92684" w:rsidRDefault="00C92684" w:rsidP="004A2B1E">
            <w:pPr>
              <w:spacing w:line="240" w:lineRule="auto"/>
              <w:jc w:val="right"/>
              <w:rPr>
                <w:lang w:eastAsia="en-AU"/>
              </w:rPr>
            </w:pPr>
            <w:r>
              <w:rPr>
                <w:lang w:eastAsia="en-AU"/>
              </w:rPr>
              <w:t>350</w:t>
            </w:r>
          </w:p>
        </w:tc>
        <w:tc>
          <w:tcPr>
            <w:tcW w:w="725" w:type="dxa"/>
            <w:tcBorders>
              <w:top w:val="nil"/>
              <w:left w:val="nil"/>
              <w:bottom w:val="single" w:sz="8" w:space="0" w:color="F79646"/>
              <w:right w:val="nil"/>
            </w:tcBorders>
            <w:shd w:val="clear" w:color="auto" w:fill="FDE9D9"/>
            <w:noWrap/>
            <w:tcMar>
              <w:top w:w="0" w:type="dxa"/>
              <w:left w:w="108" w:type="dxa"/>
              <w:bottom w:w="0" w:type="dxa"/>
              <w:right w:w="108" w:type="dxa"/>
            </w:tcMar>
            <w:vAlign w:val="bottom"/>
            <w:hideMark/>
          </w:tcPr>
          <w:p w14:paraId="62741182" w14:textId="77777777" w:rsidR="00C92684" w:rsidRDefault="00C92684" w:rsidP="004A2B1E">
            <w:pPr>
              <w:spacing w:line="240" w:lineRule="auto"/>
              <w:jc w:val="right"/>
              <w:rPr>
                <w:lang w:eastAsia="en-AU"/>
              </w:rPr>
            </w:pPr>
            <w:r>
              <w:rPr>
                <w:lang w:eastAsia="en-AU"/>
              </w:rPr>
              <w:t>7</w:t>
            </w:r>
          </w:p>
        </w:tc>
        <w:tc>
          <w:tcPr>
            <w:tcW w:w="567" w:type="dxa"/>
            <w:tcBorders>
              <w:top w:val="nil"/>
              <w:left w:val="nil"/>
              <w:bottom w:val="single" w:sz="8" w:space="0" w:color="F79646"/>
              <w:right w:val="nil"/>
            </w:tcBorders>
            <w:shd w:val="clear" w:color="auto" w:fill="FDE9D9"/>
            <w:noWrap/>
            <w:tcMar>
              <w:top w:w="0" w:type="dxa"/>
              <w:left w:w="108" w:type="dxa"/>
              <w:bottom w:w="0" w:type="dxa"/>
              <w:right w:w="108" w:type="dxa"/>
            </w:tcMar>
            <w:vAlign w:val="bottom"/>
            <w:hideMark/>
          </w:tcPr>
          <w:p w14:paraId="19D0818B" w14:textId="77777777" w:rsidR="00C92684" w:rsidRDefault="00C92684" w:rsidP="004A2B1E">
            <w:pPr>
              <w:spacing w:line="240" w:lineRule="auto"/>
              <w:jc w:val="right"/>
              <w:rPr>
                <w:lang w:eastAsia="en-AU"/>
              </w:rPr>
            </w:pPr>
            <w:r>
              <w:rPr>
                <w:lang w:eastAsia="en-AU"/>
              </w:rPr>
              <w:t>16</w:t>
            </w:r>
          </w:p>
        </w:tc>
        <w:tc>
          <w:tcPr>
            <w:tcW w:w="567" w:type="dxa"/>
            <w:tcBorders>
              <w:top w:val="nil"/>
              <w:left w:val="nil"/>
              <w:bottom w:val="single" w:sz="8" w:space="0" w:color="F79646"/>
              <w:right w:val="nil"/>
            </w:tcBorders>
            <w:shd w:val="clear" w:color="auto" w:fill="FDE9D9"/>
            <w:noWrap/>
            <w:tcMar>
              <w:top w:w="0" w:type="dxa"/>
              <w:left w:w="108" w:type="dxa"/>
              <w:bottom w:w="0" w:type="dxa"/>
              <w:right w:w="108" w:type="dxa"/>
            </w:tcMar>
            <w:vAlign w:val="bottom"/>
            <w:hideMark/>
          </w:tcPr>
          <w:p w14:paraId="6F0678C0" w14:textId="77777777" w:rsidR="00C92684" w:rsidRDefault="00C92684" w:rsidP="004A2B1E">
            <w:pPr>
              <w:spacing w:line="240" w:lineRule="auto"/>
              <w:jc w:val="right"/>
              <w:rPr>
                <w:lang w:eastAsia="en-AU"/>
              </w:rPr>
            </w:pPr>
            <w:r>
              <w:rPr>
                <w:lang w:eastAsia="en-AU"/>
              </w:rPr>
              <w:t>43</w:t>
            </w:r>
          </w:p>
        </w:tc>
        <w:tc>
          <w:tcPr>
            <w:tcW w:w="709" w:type="dxa"/>
            <w:tcBorders>
              <w:top w:val="nil"/>
              <w:left w:val="nil"/>
              <w:bottom w:val="single" w:sz="8" w:space="0" w:color="F79646"/>
              <w:right w:val="nil"/>
            </w:tcBorders>
            <w:shd w:val="clear" w:color="auto" w:fill="FDE9D9"/>
            <w:noWrap/>
            <w:tcMar>
              <w:top w:w="0" w:type="dxa"/>
              <w:left w:w="108" w:type="dxa"/>
              <w:bottom w:w="0" w:type="dxa"/>
              <w:right w:w="108" w:type="dxa"/>
            </w:tcMar>
            <w:vAlign w:val="bottom"/>
            <w:hideMark/>
          </w:tcPr>
          <w:p w14:paraId="665353FC" w14:textId="77777777" w:rsidR="00C92684" w:rsidRDefault="00C92684" w:rsidP="004A2B1E">
            <w:pPr>
              <w:spacing w:line="240" w:lineRule="auto"/>
              <w:jc w:val="right"/>
              <w:rPr>
                <w:lang w:eastAsia="en-AU"/>
              </w:rPr>
            </w:pPr>
            <w:r>
              <w:rPr>
                <w:lang w:eastAsia="en-AU"/>
              </w:rPr>
              <w:t>45</w:t>
            </w:r>
          </w:p>
        </w:tc>
        <w:tc>
          <w:tcPr>
            <w:tcW w:w="709" w:type="dxa"/>
            <w:tcBorders>
              <w:top w:val="nil"/>
              <w:left w:val="nil"/>
              <w:bottom w:val="single" w:sz="8" w:space="0" w:color="F79646"/>
              <w:right w:val="nil"/>
            </w:tcBorders>
            <w:shd w:val="clear" w:color="auto" w:fill="FDE9D9"/>
            <w:noWrap/>
            <w:tcMar>
              <w:top w:w="0" w:type="dxa"/>
              <w:left w:w="108" w:type="dxa"/>
              <w:bottom w:w="0" w:type="dxa"/>
              <w:right w:w="108" w:type="dxa"/>
            </w:tcMar>
            <w:vAlign w:val="bottom"/>
            <w:hideMark/>
          </w:tcPr>
          <w:p w14:paraId="25C9DCAA" w14:textId="77777777" w:rsidR="00C92684" w:rsidRDefault="00C92684" w:rsidP="004A2B1E">
            <w:pPr>
              <w:spacing w:line="240" w:lineRule="auto"/>
              <w:jc w:val="right"/>
              <w:rPr>
                <w:lang w:eastAsia="en-AU"/>
              </w:rPr>
            </w:pPr>
            <w:r>
              <w:rPr>
                <w:lang w:eastAsia="en-AU"/>
              </w:rPr>
              <w:t>2</w:t>
            </w:r>
          </w:p>
        </w:tc>
        <w:tc>
          <w:tcPr>
            <w:tcW w:w="592" w:type="dxa"/>
            <w:tcBorders>
              <w:top w:val="nil"/>
              <w:left w:val="nil"/>
              <w:bottom w:val="single" w:sz="8" w:space="0" w:color="F79646"/>
              <w:right w:val="nil"/>
            </w:tcBorders>
            <w:shd w:val="clear" w:color="auto" w:fill="FDE9D9"/>
            <w:noWrap/>
            <w:tcMar>
              <w:top w:w="0" w:type="dxa"/>
              <w:left w:w="108" w:type="dxa"/>
              <w:bottom w:w="0" w:type="dxa"/>
              <w:right w:w="108" w:type="dxa"/>
            </w:tcMar>
            <w:vAlign w:val="bottom"/>
            <w:hideMark/>
          </w:tcPr>
          <w:p w14:paraId="4C2331BC" w14:textId="77777777" w:rsidR="00C92684" w:rsidRDefault="00C92684" w:rsidP="004A2B1E">
            <w:pPr>
              <w:spacing w:line="240" w:lineRule="auto"/>
              <w:jc w:val="right"/>
              <w:rPr>
                <w:lang w:eastAsia="en-AU"/>
              </w:rPr>
            </w:pPr>
            <w:r>
              <w:rPr>
                <w:lang w:eastAsia="en-AU"/>
              </w:rPr>
              <w:t>1</w:t>
            </w:r>
          </w:p>
        </w:tc>
        <w:tc>
          <w:tcPr>
            <w:tcW w:w="825" w:type="dxa"/>
            <w:tcBorders>
              <w:top w:val="nil"/>
              <w:left w:val="nil"/>
              <w:bottom w:val="single" w:sz="8" w:space="0" w:color="F79646"/>
              <w:right w:val="nil"/>
            </w:tcBorders>
            <w:shd w:val="clear" w:color="auto" w:fill="FDE9D9"/>
            <w:noWrap/>
            <w:tcMar>
              <w:top w:w="0" w:type="dxa"/>
              <w:left w:w="108" w:type="dxa"/>
              <w:bottom w:w="0" w:type="dxa"/>
              <w:right w:w="108" w:type="dxa"/>
            </w:tcMar>
            <w:vAlign w:val="bottom"/>
            <w:hideMark/>
          </w:tcPr>
          <w:p w14:paraId="7D37DA2D" w14:textId="77777777" w:rsidR="00C92684" w:rsidRDefault="00C92684" w:rsidP="004A2B1E">
            <w:pPr>
              <w:spacing w:line="240" w:lineRule="auto"/>
              <w:jc w:val="right"/>
              <w:rPr>
                <w:lang w:eastAsia="en-AU"/>
              </w:rPr>
            </w:pPr>
            <w:r>
              <w:rPr>
                <w:lang w:eastAsia="en-AU"/>
              </w:rPr>
              <w:t>14</w:t>
            </w:r>
          </w:p>
        </w:tc>
      </w:tr>
    </w:tbl>
    <w:p w14:paraId="7561B34E" w14:textId="77777777" w:rsidR="00C92684" w:rsidRPr="004A3811" w:rsidRDefault="00C92684" w:rsidP="005A46C3">
      <w:pPr>
        <w:spacing w:after="0" w:line="240" w:lineRule="auto"/>
        <w:rPr>
          <w:rFonts w:ascii="Calibri" w:hAnsi="Calibri"/>
        </w:rPr>
      </w:pPr>
    </w:p>
    <w:p w14:paraId="3B4966B2" w14:textId="57D0FD77" w:rsidR="005A46C3" w:rsidRDefault="005A46C3" w:rsidP="005A46C3">
      <w:pPr>
        <w:spacing w:line="240" w:lineRule="auto"/>
        <w:rPr>
          <w:rFonts w:asciiTheme="majorHAnsi" w:eastAsiaTheme="majorEastAsia" w:hAnsiTheme="majorHAnsi" w:cstheme="majorBidi"/>
          <w:b/>
          <w:color w:val="2E74B5" w:themeColor="accent1" w:themeShade="BF"/>
          <w:sz w:val="32"/>
          <w:szCs w:val="32"/>
        </w:rPr>
      </w:pPr>
      <w:r>
        <w:t xml:space="preserve">NOPTA’s forward work program will be guided by operational requirements and shaped by the 2015 Operational Review of NOPTA, the 2016 stakeholder survey and the finalised </w:t>
      </w:r>
      <w:r w:rsidR="00D91960">
        <w:t xml:space="preserve">Offshore Petroleum </w:t>
      </w:r>
      <w:r>
        <w:t xml:space="preserve">Resource Management Review.  This flexible and open approach reflects the continuous improvement objective of the RPF.  NOPTA is well positioned to respond </w:t>
      </w:r>
      <w:r w:rsidR="00D91960">
        <w:t xml:space="preserve">to any recommendations </w:t>
      </w:r>
      <w:r>
        <w:t xml:space="preserve">consistent with its functions and legislative obligations.   </w:t>
      </w:r>
      <w:r>
        <w:rPr>
          <w:b/>
        </w:rPr>
        <w:br w:type="page"/>
      </w:r>
    </w:p>
    <w:p w14:paraId="7C577050" w14:textId="166C424A" w:rsidR="00A610E3" w:rsidRDefault="00A610E3" w:rsidP="00732E64">
      <w:pPr>
        <w:pStyle w:val="Heading1"/>
        <w:spacing w:line="240" w:lineRule="auto"/>
        <w:rPr>
          <w:b/>
        </w:rPr>
      </w:pPr>
      <w:bookmarkStart w:id="8" w:name="_Toc468884901"/>
      <w:r>
        <w:rPr>
          <w:b/>
        </w:rPr>
        <w:lastRenderedPageBreak/>
        <w:t>Introduction</w:t>
      </w:r>
      <w:bookmarkEnd w:id="7"/>
      <w:bookmarkEnd w:id="8"/>
      <w:r>
        <w:rPr>
          <w:b/>
        </w:rPr>
        <w:t xml:space="preserve"> </w:t>
      </w:r>
    </w:p>
    <w:p w14:paraId="1F942FF1" w14:textId="38095143" w:rsidR="00F22CA4" w:rsidRPr="000E48F3" w:rsidRDefault="00F22CA4" w:rsidP="00732E64">
      <w:pPr>
        <w:pStyle w:val="Heading2"/>
        <w:spacing w:before="240" w:after="120" w:line="240" w:lineRule="auto"/>
      </w:pPr>
      <w:bookmarkStart w:id="9" w:name="_Toc468884902"/>
      <w:bookmarkStart w:id="10" w:name="_Toc453069551"/>
      <w:r>
        <w:t>About NOPTA</w:t>
      </w:r>
      <w:bookmarkEnd w:id="9"/>
    </w:p>
    <w:p w14:paraId="12FFE7A1" w14:textId="1BDE3346" w:rsidR="00F22CA4" w:rsidRDefault="00F22CA4" w:rsidP="00732E64">
      <w:pPr>
        <w:spacing w:line="240" w:lineRule="auto"/>
      </w:pPr>
      <w:r>
        <w:t>The Australian government has r</w:t>
      </w:r>
      <w:r w:rsidRPr="0055095D">
        <w:t>esponsibility for Australia’s offshore areas beyond three nautical miles from the territorial sea baseline.</w:t>
      </w:r>
      <w:r>
        <w:t xml:space="preserve"> The offshore areas are regulated under the Offshore Petroleum Regulatory Regime</w:t>
      </w:r>
      <w:r>
        <w:rPr>
          <w:rStyle w:val="FootnoteReference"/>
        </w:rPr>
        <w:footnoteReference w:id="2"/>
      </w:r>
      <w:r>
        <w:t>.</w:t>
      </w:r>
      <w:r w:rsidR="00C92684">
        <w:t xml:space="preserve">  </w:t>
      </w:r>
      <w:r w:rsidR="00C92684" w:rsidRPr="00E120DD">
        <w:t xml:space="preserve">The </w:t>
      </w:r>
      <w:hyperlink r:id="rId14" w:tooltip="offshore legislation, regulations and guidelines" w:history="1">
        <w:r w:rsidR="00C92684" w:rsidRPr="00E120DD">
          <w:t>offshore legislation, regulations and guidelines</w:t>
        </w:r>
      </w:hyperlink>
      <w:r w:rsidR="00C92684" w:rsidRPr="00E120DD">
        <w:t xml:space="preserve"> provide for the orderly exploration for and production of petroleum and greenhouse gas resources, and sets out a framework of rights, entitlements and responsibilities of government and industry.</w:t>
      </w:r>
      <w:r>
        <w:t xml:space="preserve">  T</w:t>
      </w:r>
      <w:r w:rsidRPr="0055095D">
        <w:t>he regulatory regime is a system built on mutual res</w:t>
      </w:r>
      <w:r>
        <w:t xml:space="preserve">pect between governments and industry within a clear legal framework.  </w:t>
      </w:r>
      <w:r w:rsidRPr="0055095D">
        <w:t xml:space="preserve">This provides investors with predictability and clarity </w:t>
      </w:r>
      <w:r>
        <w:t>on</w:t>
      </w:r>
      <w:r w:rsidRPr="0055095D">
        <w:t xml:space="preserve"> their rights, returns and obligations while ensuring an appropriate return to the owners of the resources, the Australian people.</w:t>
      </w:r>
    </w:p>
    <w:p w14:paraId="20F7146C" w14:textId="3FFEA636" w:rsidR="00F22CA4" w:rsidRDefault="00F22CA4" w:rsidP="00732E64">
      <w:pPr>
        <w:spacing w:line="240" w:lineRule="auto"/>
      </w:pPr>
      <w:r>
        <w:t xml:space="preserve">The </w:t>
      </w:r>
      <w:r>
        <w:rPr>
          <w:i/>
        </w:rPr>
        <w:t xml:space="preserve">Offshore Petroleum and Greenhouse Gas Storage Act </w:t>
      </w:r>
      <w:r w:rsidRPr="004339BF">
        <w:rPr>
          <w:i/>
        </w:rPr>
        <w:t>20</w:t>
      </w:r>
      <w:r>
        <w:rPr>
          <w:i/>
        </w:rPr>
        <w:t xml:space="preserve">06 </w:t>
      </w:r>
      <w:r w:rsidRPr="0055095D">
        <w:t>(</w:t>
      </w:r>
      <w:r w:rsidRPr="004339BF">
        <w:t>OPGGS Act)</w:t>
      </w:r>
      <w:r>
        <w:t xml:space="preserve"> provides the legal framework for the exploration and recovery of petroleum and for injection and storage of the greenhouse gas substances in offshore areas.  It establishes: the Offshore Petroleum Joint Authorities (the Joint Authorities) for each offshore area; NOPTA; and </w:t>
      </w:r>
      <w:r w:rsidRPr="00D358A1">
        <w:rPr>
          <w:lang w:val="en"/>
        </w:rPr>
        <w:t>the NOPSEMA</w:t>
      </w:r>
      <w:r>
        <w:rPr>
          <w:rStyle w:val="FootnoteReference"/>
          <w:lang w:val="en"/>
        </w:rPr>
        <w:footnoteReference w:id="3"/>
      </w:r>
      <w:r>
        <w:t xml:space="preserve">. The Joint Authority is made up of the responsible Commonwealth Minister and the State or Territory Minister for that jurisdiction. Prior to the establishment of NOPTA titles administration was conducted by each </w:t>
      </w:r>
      <w:r w:rsidR="00E120DD">
        <w:t xml:space="preserve">State and the Northern Territory </w:t>
      </w:r>
      <w:r>
        <w:t>through a Designated Authority.</w:t>
      </w:r>
    </w:p>
    <w:p w14:paraId="41D72DE7" w14:textId="4AC38F70" w:rsidR="00F22CA4" w:rsidRDefault="00F22CA4" w:rsidP="00732E64">
      <w:pPr>
        <w:spacing w:line="240" w:lineRule="auto"/>
      </w:pPr>
      <w:r>
        <w:t xml:space="preserve">NOPTA, and NOPSEMA commenced on 1 January 2012 as a result of recommendations from the </w:t>
      </w:r>
      <w:r w:rsidRPr="00840C7D">
        <w:t>Productivity Commission</w:t>
      </w:r>
      <w:r>
        <w:t>’s</w:t>
      </w:r>
      <w:r w:rsidRPr="00840C7D">
        <w:t xml:space="preserve"> </w:t>
      </w:r>
      <w:r>
        <w:t>‘</w:t>
      </w:r>
      <w:r w:rsidRPr="00840C7D">
        <w:t>Review of Regulatory Burden on the Upstream Petroleum (Oil &amp; Gas) Sector</w:t>
      </w:r>
      <w:r>
        <w:t>’ (April 2009)</w:t>
      </w:r>
      <w:r>
        <w:rPr>
          <w:rStyle w:val="FootnoteReference"/>
        </w:rPr>
        <w:footnoteReference w:id="4"/>
      </w:r>
      <w:r>
        <w:t xml:space="preserve"> and the 2010 ‘</w:t>
      </w:r>
      <w:r w:rsidRPr="00A55D99">
        <w:t>Report of the Montara Commission of Inquiry</w:t>
      </w:r>
      <w:r>
        <w:t>’.</w:t>
      </w:r>
      <w:r>
        <w:rPr>
          <w:rStyle w:val="FootnoteReference"/>
        </w:rPr>
        <w:footnoteReference w:id="5"/>
      </w:r>
      <w:r>
        <w:t xml:space="preserve"> The Productivity Commission’s review </w:t>
      </w:r>
      <w:r>
        <w:rPr>
          <w:lang w:val="en"/>
        </w:rPr>
        <w:t>identified significant unnecessary regulatory burden on the sector. The Productivity Commission review made 30 recommendations including the establishment of a national offshore petroleum regulator in Commonwealth waters, to reduce duplication and ease regulatory burden.</w:t>
      </w:r>
      <w:r>
        <w:t xml:space="preserve"> </w:t>
      </w:r>
    </w:p>
    <w:p w14:paraId="7708D95F" w14:textId="558BF530" w:rsidR="00F22CA4" w:rsidRDefault="00F22CA4" w:rsidP="00732E64">
      <w:pPr>
        <w:spacing w:line="240" w:lineRule="auto"/>
      </w:pPr>
      <w:r>
        <w:t xml:space="preserve">NOPTA </w:t>
      </w:r>
      <w:r w:rsidR="00C23D81">
        <w:t>recovers all of its operational costs from industry through application fees and annual levies.</w:t>
      </w:r>
    </w:p>
    <w:p w14:paraId="29880547" w14:textId="77777777" w:rsidR="00F22CA4" w:rsidRDefault="00F22CA4" w:rsidP="00732E64">
      <w:pPr>
        <w:pStyle w:val="Heading2"/>
        <w:spacing w:before="240" w:after="120" w:line="240" w:lineRule="auto"/>
      </w:pPr>
      <w:bookmarkStart w:id="11" w:name="_Toc468884903"/>
      <w:bookmarkStart w:id="12" w:name="_Toc453069553"/>
      <w:r>
        <w:t>NOPTA’s role</w:t>
      </w:r>
      <w:bookmarkEnd w:id="11"/>
    </w:p>
    <w:bookmarkEnd w:id="12"/>
    <w:p w14:paraId="623F40B2" w14:textId="750E672E" w:rsidR="00F22CA4" w:rsidRDefault="00A47831" w:rsidP="00732E64">
      <w:pPr>
        <w:spacing w:line="240" w:lineRule="auto"/>
      </w:pPr>
      <w:r>
        <w:rPr>
          <w:lang w:val="en"/>
        </w:rPr>
        <w:t xml:space="preserve">NOPTA, also known as the Titles Administrator, is appointed by the Secretary under section 695A of the OPGGS Act. The Titles Administrator is an SES employee in the </w:t>
      </w:r>
      <w:hyperlink r:id="rId15" w:tooltip="Department of Industry, Innovation and Science" w:history="1">
        <w:r w:rsidR="00F22CA4" w:rsidRPr="00523499">
          <w:rPr>
            <w:color w:val="0000FF"/>
            <w:u w:val="single"/>
            <w:lang w:val="en"/>
          </w:rPr>
          <w:t>Department of Industry, Innovation and Science</w:t>
        </w:r>
      </w:hyperlink>
      <w:r w:rsidR="00F22CA4" w:rsidRPr="00523499">
        <w:rPr>
          <w:lang w:val="en"/>
        </w:rPr>
        <w:t>.</w:t>
      </w:r>
      <w:r w:rsidR="00F22CA4">
        <w:rPr>
          <w:lang w:val="en"/>
        </w:rPr>
        <w:t xml:space="preserve">  </w:t>
      </w:r>
    </w:p>
    <w:p w14:paraId="07859F35" w14:textId="77777777" w:rsidR="00245BDA" w:rsidRPr="00B01C27" w:rsidRDefault="00245BDA" w:rsidP="00732E64">
      <w:pPr>
        <w:spacing w:after="120" w:line="240" w:lineRule="auto"/>
      </w:pPr>
      <w:r w:rsidRPr="009D43EC">
        <w:rPr>
          <w:lang w:val="en"/>
        </w:rPr>
        <w:t>NOPTA's key functions are to:</w:t>
      </w:r>
    </w:p>
    <w:p w14:paraId="2C396615" w14:textId="77777777" w:rsidR="00245BDA" w:rsidRPr="009D43EC" w:rsidRDefault="00245BDA" w:rsidP="00732E64">
      <w:pPr>
        <w:numPr>
          <w:ilvl w:val="0"/>
          <w:numId w:val="17"/>
        </w:numPr>
        <w:spacing w:after="120" w:line="240" w:lineRule="auto"/>
        <w:rPr>
          <w:lang w:val="en"/>
        </w:rPr>
      </w:pPr>
      <w:r w:rsidRPr="009D43EC">
        <w:rPr>
          <w:lang w:val="en"/>
        </w:rPr>
        <w:t>provide information, assessments, analysis, reports, advice and recommendations to members of the Joint Authorities and the 'responsible Commonwealth Minister' in relation to the performance of those ministers' functions and the exercise of their powers</w:t>
      </w:r>
      <w:r>
        <w:rPr>
          <w:lang w:val="en"/>
        </w:rPr>
        <w:t>;</w:t>
      </w:r>
    </w:p>
    <w:p w14:paraId="310E0574" w14:textId="2BC6D6F5" w:rsidR="00245BDA" w:rsidRPr="009D43EC" w:rsidRDefault="00245BDA" w:rsidP="00732E64">
      <w:pPr>
        <w:numPr>
          <w:ilvl w:val="0"/>
          <w:numId w:val="17"/>
        </w:numPr>
        <w:spacing w:after="120" w:line="240" w:lineRule="auto"/>
        <w:rPr>
          <w:lang w:val="en"/>
        </w:rPr>
      </w:pPr>
      <w:r w:rsidRPr="009D43EC">
        <w:rPr>
          <w:lang w:val="en"/>
        </w:rPr>
        <w:t>facilitate life of title administration, including but not limited to Joint Authority consideration of changes to permit conditions associated with offshore petroleum titles</w:t>
      </w:r>
      <w:r>
        <w:rPr>
          <w:lang w:val="en"/>
        </w:rPr>
        <w:t>;</w:t>
      </w:r>
    </w:p>
    <w:p w14:paraId="01F3F41C" w14:textId="77777777" w:rsidR="00245BDA" w:rsidRPr="009D43EC" w:rsidRDefault="00245BDA" w:rsidP="00732E64">
      <w:pPr>
        <w:numPr>
          <w:ilvl w:val="0"/>
          <w:numId w:val="17"/>
        </w:numPr>
        <w:spacing w:after="120" w:line="240" w:lineRule="auto"/>
        <w:rPr>
          <w:lang w:val="en"/>
        </w:rPr>
      </w:pPr>
      <w:r w:rsidRPr="009D43EC">
        <w:rPr>
          <w:lang w:val="en"/>
        </w:rPr>
        <w:t>manage the collection, management and release of data</w:t>
      </w:r>
      <w:r>
        <w:rPr>
          <w:lang w:val="en"/>
        </w:rPr>
        <w:t>; and</w:t>
      </w:r>
    </w:p>
    <w:p w14:paraId="06E875CC" w14:textId="77777777" w:rsidR="00245BDA" w:rsidRPr="000E48F3" w:rsidRDefault="00245BDA" w:rsidP="00732E64">
      <w:pPr>
        <w:numPr>
          <w:ilvl w:val="0"/>
          <w:numId w:val="17"/>
        </w:numPr>
        <w:spacing w:after="120" w:line="240" w:lineRule="auto"/>
        <w:rPr>
          <w:lang w:val="en"/>
        </w:rPr>
      </w:pPr>
      <w:r>
        <w:rPr>
          <w:lang w:val="en"/>
        </w:rPr>
        <w:t>keep</w:t>
      </w:r>
      <w:r w:rsidRPr="009D43EC">
        <w:rPr>
          <w:lang w:val="en"/>
        </w:rPr>
        <w:t xml:space="preserve"> the registers of petroleum and greenhouse gas storage titles.</w:t>
      </w:r>
      <w:r w:rsidRPr="000E48F3">
        <w:rPr>
          <w:lang w:val="en"/>
        </w:rPr>
        <w:t xml:space="preserve"> </w:t>
      </w:r>
    </w:p>
    <w:p w14:paraId="2FA1C694" w14:textId="15540339" w:rsidR="00F22CA4" w:rsidRDefault="00245BDA" w:rsidP="00732E64">
      <w:pPr>
        <w:spacing w:line="240" w:lineRule="auto"/>
      </w:pPr>
      <w:r>
        <w:lastRenderedPageBreak/>
        <w:t xml:space="preserve">The Joint Authorities are the </w:t>
      </w:r>
      <w:r w:rsidR="00F22CA4">
        <w:t xml:space="preserve">decision-maker for the granting of the petroleum titles that underpin petroleum exploration and development – exploration permits, retention leases and production licenses. </w:t>
      </w:r>
      <w:r>
        <w:t xml:space="preserve"> NOPTA provides advice and recommendations in relation to these decisions.</w:t>
      </w:r>
      <w:r w:rsidR="00F22CA4">
        <w:t xml:space="preserve">  </w:t>
      </w:r>
      <w:r>
        <w:t>All communications to or from the Joint Authority occurs through NOPTA.</w:t>
      </w:r>
    </w:p>
    <w:p w14:paraId="6C4BF467" w14:textId="26079CDE" w:rsidR="00F22CA4" w:rsidRDefault="00F22CA4" w:rsidP="00732E64">
      <w:pPr>
        <w:spacing w:line="240" w:lineRule="auto"/>
      </w:pPr>
      <w:r>
        <w:t xml:space="preserve">NOPTA has the authority to grant short term titles (petroleum access authority and petroleum special prospecting authority) and approves certain commercial arrangements </w:t>
      </w:r>
      <w:r w:rsidR="00C23D81">
        <w:t xml:space="preserve">known as </w:t>
      </w:r>
      <w:r>
        <w:t xml:space="preserve">transfers and dealings. </w:t>
      </w:r>
    </w:p>
    <w:p w14:paraId="71D8220A" w14:textId="0100AD7A" w:rsidR="003D2526" w:rsidRDefault="003D2526" w:rsidP="00732E64">
      <w:pPr>
        <w:spacing w:line="240" w:lineRule="auto"/>
      </w:pPr>
      <w:r>
        <w:t>NOPTA utilises its technical and administrative experience to contribute to the development of guidance and legislation through the Offshore Resources Branch (ORB). ORB is a branch of the Department of Industry, Innovation and Science who provides the Australian Government with high-quality petroleum related policy advice.</w:t>
      </w:r>
    </w:p>
    <w:p w14:paraId="2D47DF2A" w14:textId="77777777" w:rsidR="00F22CA4" w:rsidRDefault="00F22CA4" w:rsidP="00732E64">
      <w:pPr>
        <w:pStyle w:val="Heading2"/>
        <w:spacing w:before="240" w:after="120" w:line="240" w:lineRule="auto"/>
      </w:pPr>
      <w:bookmarkStart w:id="13" w:name="_Toc468884904"/>
      <w:r w:rsidRPr="000E48F3">
        <w:t>Regulated entities and stakeholder</w:t>
      </w:r>
      <w:r>
        <w:t>s</w:t>
      </w:r>
      <w:bookmarkEnd w:id="13"/>
    </w:p>
    <w:p w14:paraId="31C790A7" w14:textId="0DFC4FB6" w:rsidR="00527F35" w:rsidRDefault="00F22CA4" w:rsidP="00732E64">
      <w:pPr>
        <w:spacing w:line="240" w:lineRule="auto"/>
      </w:pPr>
      <w:r w:rsidRPr="00F071B1">
        <w:t>NOPTA</w:t>
      </w:r>
      <w:r w:rsidR="00527F35">
        <w:t xml:space="preserve"> regulates entities within the </w:t>
      </w:r>
      <w:r w:rsidRPr="00F071B1">
        <w:t xml:space="preserve">oil and gas industry </w:t>
      </w:r>
      <w:r w:rsidR="003D2526">
        <w:t>including</w:t>
      </w:r>
      <w:r w:rsidR="00527F35" w:rsidRPr="00F071B1">
        <w:t xml:space="preserve"> associated service providers, such as the seismic industry</w:t>
      </w:r>
      <w:r w:rsidR="00527F35">
        <w:t xml:space="preserve">. </w:t>
      </w:r>
      <w:r w:rsidR="00527F35" w:rsidRPr="00F071B1">
        <w:t>Exploration and development of oil and gas resources involves large multinational companies, both foreign and domestically based.  It also includes some medium sized non-multinational companies.</w:t>
      </w:r>
    </w:p>
    <w:p w14:paraId="465A9B57" w14:textId="2A1DEA2C" w:rsidR="00F22CA4" w:rsidRPr="009F5705" w:rsidRDefault="00527F35" w:rsidP="00732E64">
      <w:pPr>
        <w:spacing w:line="240" w:lineRule="auto"/>
      </w:pPr>
      <w:r>
        <w:t xml:space="preserve">Other stakeholders include </w:t>
      </w:r>
      <w:r w:rsidR="00F22CA4" w:rsidRPr="00F071B1">
        <w:t>the Joint Authorities.  In order to consult all stakeholders NOPTA has undertaken stakeholder surveys</w:t>
      </w:r>
      <w:r w:rsidR="00246BC6">
        <w:t xml:space="preserve"> with t</w:t>
      </w:r>
      <w:r w:rsidR="00F22CA4" w:rsidRPr="00F071B1">
        <w:t>he first survey occurr</w:t>
      </w:r>
      <w:r w:rsidR="00246BC6">
        <w:t>ing</w:t>
      </w:r>
      <w:r w:rsidR="00F22CA4" w:rsidRPr="00F071B1">
        <w:t xml:space="preserve"> in 2015</w:t>
      </w:r>
      <w:r w:rsidR="00246BC6">
        <w:t>.</w:t>
      </w:r>
      <w:r w:rsidR="00F22CA4" w:rsidRPr="00F071B1">
        <w:rPr>
          <w:rStyle w:val="FootnoteReference"/>
        </w:rPr>
        <w:footnoteReference w:id="6"/>
      </w:r>
      <w:r w:rsidR="00246BC6">
        <w:t xml:space="preserve"> T</w:t>
      </w:r>
      <w:r w:rsidR="00F22CA4" w:rsidRPr="00F071B1">
        <w:t>he most recent</w:t>
      </w:r>
      <w:r w:rsidR="00246BC6">
        <w:t xml:space="preserve"> survey</w:t>
      </w:r>
      <w:r w:rsidR="00F22CA4" w:rsidRPr="00F071B1">
        <w:t xml:space="preserve"> was undertaken in May 2016.</w:t>
      </w:r>
      <w:r w:rsidR="00F22CA4" w:rsidRPr="00F071B1">
        <w:rPr>
          <w:rStyle w:val="FootnoteReference"/>
        </w:rPr>
        <w:footnoteReference w:id="7"/>
      </w:r>
      <w:r w:rsidR="00F22CA4">
        <w:t xml:space="preserve"> </w:t>
      </w:r>
    </w:p>
    <w:p w14:paraId="1D0637B1" w14:textId="77777777" w:rsidR="00F22CA4" w:rsidRDefault="00F22CA4" w:rsidP="00732E64">
      <w:pPr>
        <w:pStyle w:val="Heading2"/>
        <w:spacing w:before="240" w:after="120" w:line="240" w:lineRule="auto"/>
      </w:pPr>
      <w:bookmarkStart w:id="14" w:name="_Toc468884905"/>
      <w:r>
        <w:t>External Review</w:t>
      </w:r>
      <w:bookmarkEnd w:id="14"/>
    </w:p>
    <w:p w14:paraId="12934809" w14:textId="77777777" w:rsidR="00F22CA4" w:rsidRDefault="00F22CA4" w:rsidP="00732E64">
      <w:pPr>
        <w:spacing w:line="240" w:lineRule="auto"/>
      </w:pPr>
      <w:r>
        <w:t xml:space="preserve">Section 695P of the OPGGS Act requires the responsible Commonwealth Minister to a conduct review on the activities of NOPTA. Specifically, the review is to assess the effectiveness of NOPTA’s contribution to the efficiency of decision-making by a Joint Authority for a State or the Northern Territory. </w:t>
      </w:r>
    </w:p>
    <w:p w14:paraId="373F46BB" w14:textId="44994AF8" w:rsidR="00F22CA4" w:rsidRDefault="00F22CA4" w:rsidP="00732E64">
      <w:pPr>
        <w:spacing w:line="240" w:lineRule="auto"/>
      </w:pPr>
      <w:r>
        <w:t xml:space="preserve">The first review of NOPTA occurred three years after NOPTA’s commencement. The review was completed in September 2015. The </w:t>
      </w:r>
      <w:r w:rsidRPr="00B762D9">
        <w:rPr>
          <w:i/>
        </w:rPr>
        <w:t>2015 Operational Review of the National Offshore Petroleum Titles Administrator – Report for the Minister for Industry and Science</w:t>
      </w:r>
      <w:r>
        <w:rPr>
          <w:i/>
        </w:rPr>
        <w:t>,</w:t>
      </w:r>
      <w:r w:rsidRPr="00B762D9">
        <w:rPr>
          <w:i/>
        </w:rPr>
        <w:t xml:space="preserve"> September 2015</w:t>
      </w:r>
      <w:r>
        <w:rPr>
          <w:rStyle w:val="FootnoteReference"/>
          <w:i/>
        </w:rPr>
        <w:footnoteReference w:id="8"/>
      </w:r>
      <w:r>
        <w:t xml:space="preserve"> (2015 Operational Review of NOPTA) highlighted that NOPTA is contributing to the efficiency of the decision making by the Joint Authority.  A number of the recommendations directly relate to the Regulator Performance F</w:t>
      </w:r>
      <w:r w:rsidRPr="00A37C75">
        <w:t xml:space="preserve">ramework </w:t>
      </w:r>
      <w:r>
        <w:t xml:space="preserve">(RPF) and are addressed against the relevant </w:t>
      </w:r>
      <w:r w:rsidRPr="00A37C75">
        <w:t>KPIs</w:t>
      </w:r>
      <w:r>
        <w:t xml:space="preserve">.  </w:t>
      </w:r>
    </w:p>
    <w:p w14:paraId="11893606" w14:textId="77777777" w:rsidR="00F22CA4" w:rsidRDefault="00F22CA4" w:rsidP="00732E64">
      <w:pPr>
        <w:spacing w:line="240" w:lineRule="auto"/>
      </w:pPr>
      <w:r>
        <w:t>In December 2015 the Australian Government Response to the 2015 Operational Review of NOPTA was released.  Of the 12 recommendations of the operational review the Government noted six, accepted five and agreed in principle with one.  These include increasing the transparency of the decision making process of the Joint Authority, expanding the functionality of the National Electronic Approvals Tracking system (NEATS) system</w:t>
      </w:r>
      <w:r w:rsidRPr="004170DD">
        <w:t xml:space="preserve"> </w:t>
      </w:r>
      <w:r>
        <w:t xml:space="preserve">and publishing details of NOPTA’s performance. </w:t>
      </w:r>
    </w:p>
    <w:p w14:paraId="2F59972F" w14:textId="77777777" w:rsidR="00823E90" w:rsidRPr="00ED49D8" w:rsidRDefault="00823E90" w:rsidP="00732E64">
      <w:pPr>
        <w:pStyle w:val="Heading2"/>
        <w:spacing w:after="120" w:line="240" w:lineRule="auto"/>
      </w:pPr>
      <w:bookmarkStart w:id="15" w:name="_Toc453069554"/>
      <w:bookmarkStart w:id="16" w:name="_Toc468884906"/>
      <w:r>
        <w:t>The Regulator Performance Framework</w:t>
      </w:r>
      <w:bookmarkEnd w:id="15"/>
      <w:r>
        <w:t xml:space="preserve"> and Self-Assessment</w:t>
      </w:r>
      <w:bookmarkEnd w:id="16"/>
    </w:p>
    <w:p w14:paraId="1B09C443" w14:textId="03AC55A7" w:rsidR="00823E90" w:rsidRDefault="00823E90" w:rsidP="00732E64">
      <w:pPr>
        <w:spacing w:line="240" w:lineRule="auto"/>
      </w:pPr>
      <w:r w:rsidRPr="00A37C75">
        <w:t xml:space="preserve">The </w:t>
      </w:r>
      <w:r>
        <w:t>RPF</w:t>
      </w:r>
      <w:r w:rsidR="00867AD1">
        <w:rPr>
          <w:rStyle w:val="FootnoteReference"/>
        </w:rPr>
        <w:footnoteReference w:id="9"/>
      </w:r>
      <w:r>
        <w:t xml:space="preserve"> </w:t>
      </w:r>
      <w:r w:rsidRPr="00A37C75">
        <w:t xml:space="preserve">establishes a common set of performance </w:t>
      </w:r>
      <w:r>
        <w:t>indicators</w:t>
      </w:r>
      <w:r w:rsidRPr="00A37C75">
        <w:t xml:space="preserve"> to enable the assessment of regulator performance and their engagement with stakeholders.  Measuring and publicly reporting performance </w:t>
      </w:r>
      <w:r>
        <w:t>provides</w:t>
      </w:r>
      <w:r w:rsidRPr="00A37C75">
        <w:t xml:space="preserve"> </w:t>
      </w:r>
      <w:r>
        <w:t>industry</w:t>
      </w:r>
      <w:r w:rsidRPr="00A37C75">
        <w:t xml:space="preserve">, the community and individuals confidence that regulators </w:t>
      </w:r>
      <w:r w:rsidR="00524280">
        <w:t xml:space="preserve">are </w:t>
      </w:r>
      <w:r>
        <w:t xml:space="preserve">being </w:t>
      </w:r>
      <w:r w:rsidRPr="00A37C75">
        <w:t>effective</w:t>
      </w:r>
      <w:r>
        <w:t xml:space="preserve"> and </w:t>
      </w:r>
      <w:r w:rsidR="00524280">
        <w:t xml:space="preserve">are contributing to </w:t>
      </w:r>
      <w:r>
        <w:t>reducing regulatory burden</w:t>
      </w:r>
      <w:r w:rsidRPr="00A37C75">
        <w:t xml:space="preserve">. </w:t>
      </w:r>
    </w:p>
    <w:p w14:paraId="60BAFE2D" w14:textId="47DDDE4A" w:rsidR="00823E90" w:rsidRDefault="00823E90" w:rsidP="00732E64">
      <w:pPr>
        <w:spacing w:line="240" w:lineRule="auto"/>
      </w:pPr>
      <w:r w:rsidRPr="00A37C75">
        <w:lastRenderedPageBreak/>
        <w:t xml:space="preserve">The RPF </w:t>
      </w:r>
      <w:r w:rsidR="00C23D81">
        <w:t>mandates</w:t>
      </w:r>
      <w:r w:rsidR="00C23D81" w:rsidRPr="00A37C75">
        <w:t xml:space="preserve"> </w:t>
      </w:r>
      <w:r w:rsidRPr="00A37C75">
        <w:t xml:space="preserve">six KPIs and an annual externally validated self-assessment process.  </w:t>
      </w:r>
      <w:r>
        <w:t>Th</w:t>
      </w:r>
      <w:r w:rsidR="004C0F3E">
        <w:t>is</w:t>
      </w:r>
      <w:r>
        <w:t xml:space="preserve"> inaugural self-assessment covers from 1 July 2015 to 30 June 2016.</w:t>
      </w:r>
    </w:p>
    <w:p w14:paraId="00B5FB43" w14:textId="03464C16" w:rsidR="00823E90" w:rsidRPr="00A37C75" w:rsidRDefault="00823E90" w:rsidP="00732E64">
      <w:pPr>
        <w:spacing w:line="240" w:lineRule="auto"/>
      </w:pPr>
      <w:r>
        <w:t>Under the RPF a regulator is a g</w:t>
      </w:r>
      <w:r w:rsidRPr="00A37C75">
        <w:t>overnment body</w:t>
      </w:r>
      <w:r w:rsidR="00E120DD">
        <w:t xml:space="preserve">, including a branch within a </w:t>
      </w:r>
      <w:r w:rsidR="00D127EF">
        <w:t>Department,</w:t>
      </w:r>
      <w:r w:rsidR="00D127EF" w:rsidRPr="00A37C75">
        <w:t xml:space="preserve"> which</w:t>
      </w:r>
      <w:r w:rsidRPr="00A37C75">
        <w:t xml:space="preserve"> administers, monitors or enforces regulation.  This includes NOPTA as the national administrator of offshore petroleum titles.  </w:t>
      </w:r>
    </w:p>
    <w:p w14:paraId="468FFC67" w14:textId="77777777" w:rsidR="00823E90" w:rsidRDefault="00823E90" w:rsidP="00732E64">
      <w:pPr>
        <w:pStyle w:val="Heading2"/>
        <w:spacing w:before="240" w:after="120" w:line="240" w:lineRule="auto"/>
      </w:pPr>
      <w:bookmarkStart w:id="17" w:name="_Toc453069555"/>
      <w:bookmarkStart w:id="18" w:name="_Toc468884907"/>
      <w:r>
        <w:t>NOPTA’s implementation of the RPF</w:t>
      </w:r>
      <w:bookmarkEnd w:id="17"/>
      <w:bookmarkEnd w:id="18"/>
    </w:p>
    <w:p w14:paraId="1CD2E4B2" w14:textId="25A5A0B0" w:rsidR="00823E90" w:rsidRDefault="00823E90" w:rsidP="00732E64">
      <w:pPr>
        <w:spacing w:line="240" w:lineRule="auto"/>
      </w:pPr>
      <w:r>
        <w:t xml:space="preserve">NOPTA is strongly committed to the objectives of the RPF. NOPTA has incorporated the six KPIs into our 2015-17 Corporate Plan. </w:t>
      </w:r>
      <w:r w:rsidR="00F071B1">
        <w:t xml:space="preserve"> </w:t>
      </w:r>
      <w:r>
        <w:t xml:space="preserve">In order to provide evidence against the KPIs </w:t>
      </w:r>
      <w:r w:rsidRPr="00A37C75">
        <w:t>NOPTA incorporated the RPF into design of questions for the 2016 annual stakeholder survey</w:t>
      </w:r>
      <w:r>
        <w:t>.</w:t>
      </w:r>
    </w:p>
    <w:p w14:paraId="619C3C01" w14:textId="1D3496A5" w:rsidR="00823E90" w:rsidRPr="0008769C" w:rsidRDefault="00823E90" w:rsidP="00732E64">
      <w:pPr>
        <w:spacing w:line="240" w:lineRule="auto"/>
      </w:pPr>
      <w:r w:rsidRPr="00334147">
        <w:t xml:space="preserve">NOPTA has included this self-assessment, reporting against the RPF, </w:t>
      </w:r>
      <w:r w:rsidRPr="0008769C">
        <w:t>as a chapter of our Annual report of activities.</w:t>
      </w:r>
      <w:r w:rsidRPr="0008769C">
        <w:rPr>
          <w:rStyle w:val="FootnoteReference"/>
        </w:rPr>
        <w:footnoteReference w:id="10"/>
      </w:r>
      <w:r w:rsidRPr="0008769C">
        <w:t xml:space="preserve"> Publishing details of NOPTA’s performance was recommended in the </w:t>
      </w:r>
      <w:r w:rsidR="004567A8" w:rsidRPr="0008769C">
        <w:rPr>
          <w:i/>
        </w:rPr>
        <w:t>2015 Operational Review of the National Offshore Petroleum Titles Administrator – Report for the Minister for Industry and Science, September 2015</w:t>
      </w:r>
      <w:r w:rsidR="004567A8" w:rsidRPr="0008769C">
        <w:t xml:space="preserve">  (2015 Operational Review of NOPTA)</w:t>
      </w:r>
      <w:r w:rsidRPr="0008769C">
        <w:t xml:space="preserve"> and this self-assessment will be a key element in meeting this recommendation.</w:t>
      </w:r>
      <w:r w:rsidR="00EB05FE" w:rsidRPr="0008769C">
        <w:t xml:space="preserve"> </w:t>
      </w:r>
    </w:p>
    <w:p w14:paraId="41B6ED2C" w14:textId="77777777" w:rsidR="00823E90" w:rsidRDefault="00823E90" w:rsidP="00732E64">
      <w:pPr>
        <w:spacing w:after="240" w:line="240" w:lineRule="auto"/>
        <w:ind w:right="-1"/>
      </w:pPr>
      <w:r w:rsidRPr="0008769C">
        <w:t xml:space="preserve">Incorporating the self-assessment into the Annual report of activities will complement, rather than duplicate, other reporting processes to ensure reporting is cost effective and does not place undue burden on NOPTA’s stakeholders or staff.  </w:t>
      </w:r>
    </w:p>
    <w:p w14:paraId="3DC42EA1" w14:textId="77777777" w:rsidR="00E120DD" w:rsidRDefault="00E120DD" w:rsidP="00E120DD">
      <w:pPr>
        <w:spacing w:line="240" w:lineRule="auto"/>
      </w:pPr>
      <w:r>
        <w:t xml:space="preserve">As agreed to by the Minister, this report will be externally validated by the Growth Centre Advisory Committee. The Growth Centre Advisory Committee were chosen as NOPTA’s validating body as they independent from NOPTA and have expertise in the oil and gas industry. </w:t>
      </w:r>
    </w:p>
    <w:p w14:paraId="0894BC07" w14:textId="5D3DD7EF" w:rsidR="00867AD1" w:rsidRDefault="00E120DD" w:rsidP="00732E64">
      <w:pPr>
        <w:spacing w:line="240" w:lineRule="auto"/>
      </w:pPr>
      <w:r>
        <w:t>NOPTA engaged KPMG to undertake t</w:t>
      </w:r>
      <w:r w:rsidR="00867AD1" w:rsidRPr="0008769C">
        <w:t>he 2016 stakeholder survey</w:t>
      </w:r>
      <w:r>
        <w:t>.</w:t>
      </w:r>
      <w:r>
        <w:rPr>
          <w:rStyle w:val="FootnoteReference"/>
        </w:rPr>
        <w:footnoteReference w:id="11"/>
      </w:r>
      <w:r w:rsidR="00867AD1" w:rsidRPr="0008769C">
        <w:t xml:space="preserve"> </w:t>
      </w:r>
      <w:r>
        <w:t xml:space="preserve"> The stakeholder survey</w:t>
      </w:r>
      <w:r w:rsidR="00867AD1" w:rsidRPr="0008769C">
        <w:t xml:space="preserve"> </w:t>
      </w:r>
      <w:r w:rsidR="00295D83" w:rsidRPr="0008769C">
        <w:t xml:space="preserve">provides </w:t>
      </w:r>
      <w:r w:rsidR="00524280">
        <w:t xml:space="preserve">quantitative performance metrics and qualitative insights </w:t>
      </w:r>
      <w:r w:rsidR="00295D83" w:rsidRPr="0008769C">
        <w:t>against the</w:t>
      </w:r>
      <w:r w:rsidR="00524280">
        <w:t xml:space="preserve"> RPF</w:t>
      </w:r>
      <w:r w:rsidR="00295D83" w:rsidRPr="0008769C">
        <w:t xml:space="preserve"> KPIs. </w:t>
      </w:r>
      <w:r w:rsidR="00295D83">
        <w:t>It</w:t>
      </w:r>
      <w:r w:rsidR="00867AD1">
        <w:t xml:space="preserve"> compare</w:t>
      </w:r>
      <w:r w:rsidR="00295D83">
        <w:t>d</w:t>
      </w:r>
      <w:r w:rsidR="00867AD1">
        <w:t xml:space="preserve"> NOPTA’s performance, in the opinion of survey respondents, against the results of the 2015 survey for timeliness, quality of communication, accessibility and responsiveness.  </w:t>
      </w:r>
      <w:r w:rsidR="00524280">
        <w:t xml:space="preserve">The survey also </w:t>
      </w:r>
      <w:r w:rsidR="00867AD1">
        <w:t>identi</w:t>
      </w:r>
      <w:r w:rsidR="00524280">
        <w:t>fied</w:t>
      </w:r>
      <w:r w:rsidR="00295D83">
        <w:t xml:space="preserve"> </w:t>
      </w:r>
      <w:r w:rsidR="00867AD1">
        <w:t>areas for future improvement or action.  Survey results are described against relevant RPF KPIs.</w:t>
      </w:r>
    </w:p>
    <w:p w14:paraId="3127E221" w14:textId="77777777" w:rsidR="00C02989" w:rsidRDefault="00C02989" w:rsidP="00FE0E8B">
      <w:pPr>
        <w:spacing w:line="240" w:lineRule="auto"/>
        <w:rPr>
          <w:rFonts w:asciiTheme="majorHAnsi" w:eastAsiaTheme="majorEastAsia" w:hAnsiTheme="majorHAnsi" w:cstheme="majorBidi"/>
          <w:color w:val="2E74B5" w:themeColor="accent1" w:themeShade="BF"/>
          <w:sz w:val="26"/>
          <w:szCs w:val="26"/>
        </w:rPr>
      </w:pPr>
      <w:r>
        <w:br w:type="page"/>
      </w:r>
    </w:p>
    <w:p w14:paraId="3D9BA193" w14:textId="79E15F57" w:rsidR="008E54A5" w:rsidRPr="00063491" w:rsidRDefault="008E54A5" w:rsidP="00732E64">
      <w:pPr>
        <w:pStyle w:val="Heading2"/>
        <w:spacing w:line="240" w:lineRule="auto"/>
        <w:rPr>
          <w:b/>
        </w:rPr>
      </w:pPr>
      <w:bookmarkStart w:id="19" w:name="_Toc453069556"/>
      <w:bookmarkStart w:id="20" w:name="_Toc468884908"/>
      <w:bookmarkEnd w:id="10"/>
      <w:r>
        <w:rPr>
          <w:b/>
        </w:rPr>
        <w:lastRenderedPageBreak/>
        <w:t>KPI</w:t>
      </w:r>
      <w:r w:rsidRPr="008E31AF">
        <w:rPr>
          <w:b/>
        </w:rPr>
        <w:t xml:space="preserve"> 1</w:t>
      </w:r>
      <w:r>
        <w:rPr>
          <w:b/>
        </w:rPr>
        <w:t xml:space="preserve">: </w:t>
      </w:r>
      <w:r w:rsidRPr="00B318F2">
        <w:rPr>
          <w:b/>
        </w:rPr>
        <w:t>Regulators do not unnecessarily impede the efficient operation of regulated entities</w:t>
      </w:r>
      <w:bookmarkEnd w:id="19"/>
      <w:bookmarkEnd w:id="20"/>
    </w:p>
    <w:p w14:paraId="0581815E" w14:textId="77777777" w:rsidR="008E54A5" w:rsidRDefault="008E54A5" w:rsidP="00732E64">
      <w:pPr>
        <w:pStyle w:val="Heading2"/>
        <w:spacing w:after="120" w:line="240" w:lineRule="auto"/>
      </w:pPr>
      <w:bookmarkStart w:id="21" w:name="_Toc453069557"/>
      <w:bookmarkStart w:id="22" w:name="_Toc468884909"/>
      <w:r>
        <w:t>Summary</w:t>
      </w:r>
      <w:bookmarkEnd w:id="21"/>
      <w:bookmarkEnd w:id="22"/>
    </w:p>
    <w:p w14:paraId="3E6401EB" w14:textId="7FAA8BEA" w:rsidR="00CD47C6" w:rsidRPr="00732E64" w:rsidRDefault="00ED49DA" w:rsidP="00732E64">
      <w:pPr>
        <w:pStyle w:val="ListParagraph"/>
        <w:numPr>
          <w:ilvl w:val="0"/>
          <w:numId w:val="25"/>
        </w:numPr>
        <w:spacing w:after="120"/>
        <w:ind w:left="714" w:hanging="357"/>
        <w:contextualSpacing w:val="0"/>
        <w:rPr>
          <w:rFonts w:asciiTheme="minorHAnsi" w:hAnsiTheme="minorHAnsi"/>
          <w:color w:val="auto"/>
          <w:sz w:val="22"/>
          <w:szCs w:val="22"/>
        </w:rPr>
      </w:pPr>
      <w:bookmarkStart w:id="23" w:name="_Toc453069558"/>
      <w:r>
        <w:rPr>
          <w:rFonts w:asciiTheme="minorHAnsi" w:hAnsiTheme="minorHAnsi"/>
          <w:color w:val="auto"/>
          <w:sz w:val="22"/>
          <w:szCs w:val="22"/>
        </w:rPr>
        <w:t xml:space="preserve">Improved </w:t>
      </w:r>
      <w:r w:rsidRPr="00610562">
        <w:rPr>
          <w:rFonts w:asciiTheme="minorHAnsi" w:hAnsiTheme="minorHAnsi"/>
          <w:color w:val="auto"/>
          <w:sz w:val="22"/>
          <w:szCs w:val="22"/>
        </w:rPr>
        <w:t>the consistency of reporting</w:t>
      </w:r>
      <w:r w:rsidR="00D00BED">
        <w:rPr>
          <w:rFonts w:asciiTheme="minorHAnsi" w:hAnsiTheme="minorHAnsi"/>
          <w:color w:val="auto"/>
          <w:sz w:val="22"/>
          <w:szCs w:val="22"/>
        </w:rPr>
        <w:t xml:space="preserve"> and reduced requests for further information</w:t>
      </w:r>
      <w:r>
        <w:rPr>
          <w:rFonts w:asciiTheme="minorHAnsi" w:hAnsiTheme="minorHAnsi"/>
          <w:color w:val="auto"/>
          <w:sz w:val="22"/>
          <w:szCs w:val="22"/>
        </w:rPr>
        <w:t xml:space="preserve"> for </w:t>
      </w:r>
      <w:r w:rsidRPr="00B80982">
        <w:rPr>
          <w:rFonts w:asciiTheme="minorHAnsi" w:hAnsiTheme="minorHAnsi"/>
          <w:color w:val="auto"/>
          <w:sz w:val="22"/>
          <w:szCs w:val="22"/>
        </w:rPr>
        <w:t>Annual Title Assessment Reports (ATARs)</w:t>
      </w:r>
      <w:r w:rsidR="00B06BF9">
        <w:rPr>
          <w:rFonts w:asciiTheme="minorHAnsi" w:hAnsiTheme="minorHAnsi"/>
          <w:color w:val="auto"/>
          <w:sz w:val="22"/>
          <w:szCs w:val="22"/>
        </w:rPr>
        <w:t>,</w:t>
      </w:r>
      <w:r>
        <w:rPr>
          <w:rFonts w:asciiTheme="minorHAnsi" w:hAnsiTheme="minorHAnsi"/>
          <w:color w:val="auto"/>
          <w:sz w:val="22"/>
          <w:szCs w:val="22"/>
        </w:rPr>
        <w:t xml:space="preserve"> by engaging s</w:t>
      </w:r>
      <w:r w:rsidR="00231E6F" w:rsidRPr="00732E64">
        <w:rPr>
          <w:rFonts w:asciiTheme="minorHAnsi" w:hAnsiTheme="minorHAnsi"/>
          <w:color w:val="auto"/>
          <w:sz w:val="22"/>
          <w:szCs w:val="22"/>
        </w:rPr>
        <w:t>takeholder</w:t>
      </w:r>
      <w:r>
        <w:rPr>
          <w:rFonts w:asciiTheme="minorHAnsi" w:hAnsiTheme="minorHAnsi"/>
          <w:color w:val="auto"/>
          <w:sz w:val="22"/>
          <w:szCs w:val="22"/>
        </w:rPr>
        <w:t xml:space="preserve">s in </w:t>
      </w:r>
      <w:r w:rsidR="00231E6F" w:rsidRPr="00732E64">
        <w:rPr>
          <w:rFonts w:asciiTheme="minorHAnsi" w:hAnsiTheme="minorHAnsi"/>
          <w:color w:val="auto"/>
          <w:sz w:val="22"/>
          <w:szCs w:val="22"/>
        </w:rPr>
        <w:t xml:space="preserve">the design and implementation of </w:t>
      </w:r>
      <w:r w:rsidR="0058501D" w:rsidRPr="00732E64">
        <w:rPr>
          <w:rFonts w:asciiTheme="minorHAnsi" w:hAnsiTheme="minorHAnsi"/>
          <w:color w:val="auto"/>
          <w:sz w:val="22"/>
          <w:szCs w:val="22"/>
        </w:rPr>
        <w:t>model templates</w:t>
      </w:r>
      <w:r>
        <w:rPr>
          <w:rFonts w:asciiTheme="minorHAnsi" w:hAnsiTheme="minorHAnsi"/>
          <w:color w:val="auto"/>
          <w:sz w:val="22"/>
          <w:szCs w:val="22"/>
        </w:rPr>
        <w:t>.</w:t>
      </w:r>
      <w:r w:rsidR="0058501D" w:rsidRPr="00732E64">
        <w:rPr>
          <w:rFonts w:asciiTheme="minorHAnsi" w:hAnsiTheme="minorHAnsi"/>
          <w:color w:val="auto"/>
          <w:sz w:val="22"/>
          <w:szCs w:val="22"/>
        </w:rPr>
        <w:t xml:space="preserve"> </w:t>
      </w:r>
    </w:p>
    <w:p w14:paraId="14E9B7DD" w14:textId="77777777" w:rsidR="00732E64" w:rsidRPr="00732E64" w:rsidRDefault="00512DEC" w:rsidP="00732E64">
      <w:pPr>
        <w:pStyle w:val="ListParagraph"/>
        <w:numPr>
          <w:ilvl w:val="0"/>
          <w:numId w:val="25"/>
        </w:numPr>
        <w:spacing w:after="120"/>
        <w:ind w:left="714" w:hanging="357"/>
        <w:contextualSpacing w:val="0"/>
        <w:rPr>
          <w:rFonts w:asciiTheme="minorHAnsi" w:hAnsiTheme="minorHAnsi"/>
          <w:color w:val="auto"/>
          <w:sz w:val="22"/>
          <w:szCs w:val="22"/>
        </w:rPr>
      </w:pPr>
      <w:r w:rsidRPr="00FE0E8B">
        <w:rPr>
          <w:rFonts w:asciiTheme="minorHAnsi" w:hAnsiTheme="minorHAnsi"/>
          <w:color w:val="auto"/>
          <w:sz w:val="22"/>
          <w:szCs w:val="22"/>
        </w:rPr>
        <w:t xml:space="preserve">NOPTA is an active member of the International Upstream Forum which </w:t>
      </w:r>
      <w:r w:rsidR="005275D5" w:rsidRPr="00FE0E8B">
        <w:rPr>
          <w:rFonts w:asciiTheme="minorHAnsi" w:hAnsiTheme="minorHAnsi"/>
          <w:color w:val="auto"/>
          <w:sz w:val="22"/>
          <w:szCs w:val="22"/>
        </w:rPr>
        <w:t>provides insights into titles administration</w:t>
      </w:r>
      <w:r w:rsidR="00334147" w:rsidRPr="00FE0E8B">
        <w:rPr>
          <w:rFonts w:asciiTheme="minorHAnsi" w:hAnsiTheme="minorHAnsi"/>
          <w:color w:val="auto"/>
          <w:sz w:val="22"/>
          <w:szCs w:val="22"/>
        </w:rPr>
        <w:t xml:space="preserve"> and data management</w:t>
      </w:r>
      <w:r w:rsidR="005275D5" w:rsidRPr="00FE0E8B">
        <w:rPr>
          <w:rFonts w:asciiTheme="minorHAnsi" w:hAnsiTheme="minorHAnsi"/>
          <w:color w:val="auto"/>
          <w:sz w:val="22"/>
          <w:szCs w:val="22"/>
        </w:rPr>
        <w:t xml:space="preserve"> around the world.</w:t>
      </w:r>
      <w:r w:rsidRPr="00FE0E8B">
        <w:rPr>
          <w:rFonts w:asciiTheme="minorHAnsi" w:hAnsiTheme="minorHAnsi"/>
          <w:color w:val="auto"/>
          <w:sz w:val="22"/>
          <w:szCs w:val="22"/>
        </w:rPr>
        <w:t xml:space="preserve"> </w:t>
      </w:r>
    </w:p>
    <w:p w14:paraId="062445C6" w14:textId="6AA4F594" w:rsidR="00ED49DA" w:rsidRPr="00732E64" w:rsidRDefault="00ED49DA" w:rsidP="00732E64">
      <w:pPr>
        <w:pStyle w:val="ListParagraph"/>
        <w:numPr>
          <w:ilvl w:val="0"/>
          <w:numId w:val="25"/>
        </w:numPr>
        <w:spacing w:after="120"/>
        <w:ind w:left="714" w:hanging="357"/>
        <w:contextualSpacing w:val="0"/>
        <w:rPr>
          <w:rFonts w:asciiTheme="minorHAnsi" w:hAnsiTheme="minorHAnsi"/>
          <w:color w:val="auto"/>
          <w:sz w:val="22"/>
          <w:szCs w:val="22"/>
        </w:rPr>
      </w:pPr>
      <w:r>
        <w:rPr>
          <w:rFonts w:asciiTheme="minorHAnsi" w:hAnsiTheme="minorHAnsi"/>
          <w:color w:val="auto"/>
          <w:sz w:val="22"/>
          <w:szCs w:val="22"/>
        </w:rPr>
        <w:t xml:space="preserve">Contributed to </w:t>
      </w:r>
      <w:r w:rsidR="00E11DC6" w:rsidRPr="00FE0E8B">
        <w:rPr>
          <w:rFonts w:asciiTheme="minorHAnsi" w:hAnsiTheme="minorHAnsi"/>
          <w:color w:val="auto"/>
          <w:sz w:val="22"/>
          <w:szCs w:val="22"/>
        </w:rPr>
        <w:t xml:space="preserve">data improvement initiatives through international petroleum data standards bodies such as </w:t>
      </w:r>
      <w:r w:rsidR="00F402F8" w:rsidRPr="00FE0E8B">
        <w:rPr>
          <w:rFonts w:asciiTheme="minorHAnsi" w:hAnsiTheme="minorHAnsi"/>
          <w:color w:val="auto"/>
          <w:sz w:val="22"/>
          <w:szCs w:val="22"/>
        </w:rPr>
        <w:t xml:space="preserve">Energistics </w:t>
      </w:r>
      <w:r w:rsidR="00E11DC6" w:rsidRPr="00FE0E8B">
        <w:rPr>
          <w:rFonts w:asciiTheme="minorHAnsi" w:hAnsiTheme="minorHAnsi"/>
          <w:color w:val="auto"/>
          <w:sz w:val="22"/>
          <w:szCs w:val="22"/>
        </w:rPr>
        <w:t>and the Professional Petroleum Data Managers Association (PPDM).</w:t>
      </w:r>
    </w:p>
    <w:p w14:paraId="10D8265F" w14:textId="3070B925" w:rsidR="00231E6F" w:rsidRPr="00FE0E8B" w:rsidRDefault="00ED49DA" w:rsidP="00732E64">
      <w:pPr>
        <w:pStyle w:val="ListParagraph"/>
        <w:numPr>
          <w:ilvl w:val="0"/>
          <w:numId w:val="25"/>
        </w:numPr>
        <w:spacing w:after="120"/>
        <w:ind w:left="714" w:hanging="357"/>
        <w:contextualSpacing w:val="0"/>
        <w:rPr>
          <w:rFonts w:asciiTheme="minorHAnsi" w:hAnsiTheme="minorHAnsi"/>
          <w:color w:val="auto"/>
          <w:sz w:val="22"/>
          <w:szCs w:val="22"/>
        </w:rPr>
      </w:pPr>
      <w:r>
        <w:rPr>
          <w:rFonts w:asciiTheme="minorHAnsi" w:hAnsiTheme="minorHAnsi"/>
          <w:color w:val="auto"/>
          <w:sz w:val="22"/>
          <w:szCs w:val="22"/>
        </w:rPr>
        <w:t xml:space="preserve">Reviewed and implemented a revised </w:t>
      </w:r>
      <w:r w:rsidR="005275D5" w:rsidRPr="00732E64">
        <w:rPr>
          <w:rFonts w:asciiTheme="minorHAnsi" w:hAnsiTheme="minorHAnsi"/>
          <w:color w:val="auto"/>
          <w:sz w:val="22"/>
          <w:szCs w:val="22"/>
        </w:rPr>
        <w:t>Cost Recovery Implementation Statement</w:t>
      </w:r>
      <w:r w:rsidR="00FE0E8B">
        <w:rPr>
          <w:rFonts w:asciiTheme="minorHAnsi" w:hAnsiTheme="minorHAnsi"/>
          <w:color w:val="auto"/>
          <w:sz w:val="22"/>
          <w:szCs w:val="22"/>
        </w:rPr>
        <w:t xml:space="preserve"> (CRIS)</w:t>
      </w:r>
      <w:r w:rsidR="005275D5" w:rsidRPr="00732E64">
        <w:rPr>
          <w:rFonts w:asciiTheme="minorHAnsi" w:hAnsiTheme="minorHAnsi"/>
          <w:color w:val="auto"/>
          <w:sz w:val="22"/>
          <w:szCs w:val="22"/>
        </w:rPr>
        <w:t>.</w:t>
      </w:r>
    </w:p>
    <w:p w14:paraId="6B334AFB" w14:textId="3AA5AD3D" w:rsidR="00B566F5" w:rsidRPr="00732E64" w:rsidRDefault="0005306D" w:rsidP="00732E64">
      <w:pPr>
        <w:pStyle w:val="ListParagraph"/>
        <w:numPr>
          <w:ilvl w:val="0"/>
          <w:numId w:val="25"/>
        </w:numPr>
        <w:spacing w:after="120"/>
        <w:contextualSpacing w:val="0"/>
        <w:rPr>
          <w:rFonts w:asciiTheme="minorHAnsi" w:hAnsiTheme="minorHAnsi"/>
          <w:color w:val="auto"/>
          <w:sz w:val="22"/>
          <w:szCs w:val="22"/>
        </w:rPr>
      </w:pPr>
      <w:r>
        <w:rPr>
          <w:rFonts w:asciiTheme="minorHAnsi" w:hAnsiTheme="minorHAnsi"/>
          <w:color w:val="auto"/>
          <w:sz w:val="22"/>
          <w:szCs w:val="22"/>
        </w:rPr>
        <w:t>Achieved 97</w:t>
      </w:r>
      <w:r w:rsidR="00ED49DA" w:rsidRPr="00FC77F2">
        <w:rPr>
          <w:rFonts w:asciiTheme="minorHAnsi" w:hAnsiTheme="minorHAnsi"/>
          <w:color w:val="auto"/>
          <w:sz w:val="22"/>
          <w:szCs w:val="22"/>
        </w:rPr>
        <w:t xml:space="preserve"> per cent </w:t>
      </w:r>
      <w:r w:rsidR="00ED49DA" w:rsidRPr="00D00BED">
        <w:rPr>
          <w:rFonts w:asciiTheme="minorHAnsi" w:hAnsiTheme="minorHAnsi"/>
          <w:color w:val="auto"/>
          <w:sz w:val="22"/>
          <w:szCs w:val="22"/>
        </w:rPr>
        <w:t>satisfaction</w:t>
      </w:r>
      <w:r w:rsidR="00ED49DA" w:rsidRPr="00D127EF">
        <w:rPr>
          <w:rFonts w:asciiTheme="minorHAnsi" w:hAnsiTheme="minorHAnsi"/>
          <w:vertAlign w:val="superscript"/>
        </w:rPr>
        <w:footnoteReference w:id="12"/>
      </w:r>
      <w:r w:rsidR="00ED49DA" w:rsidRPr="00D00BED">
        <w:rPr>
          <w:rFonts w:asciiTheme="minorHAnsi" w:hAnsiTheme="minorHAnsi"/>
          <w:color w:val="auto"/>
          <w:sz w:val="22"/>
          <w:szCs w:val="22"/>
        </w:rPr>
        <w:t xml:space="preserve"> </w:t>
      </w:r>
      <w:r w:rsidRPr="00D00BED">
        <w:rPr>
          <w:rFonts w:asciiTheme="minorHAnsi" w:hAnsiTheme="minorHAnsi"/>
          <w:color w:val="auto"/>
          <w:sz w:val="22"/>
          <w:szCs w:val="22"/>
        </w:rPr>
        <w:t>with</w:t>
      </w:r>
      <w:r w:rsidR="00ED49DA" w:rsidRPr="00C57E37">
        <w:rPr>
          <w:rFonts w:asciiTheme="minorHAnsi" w:hAnsiTheme="minorHAnsi"/>
          <w:color w:val="auto"/>
          <w:sz w:val="22"/>
          <w:szCs w:val="22"/>
        </w:rPr>
        <w:t xml:space="preserve"> NOPTA’s responsiveness to business needs</w:t>
      </w:r>
      <w:r w:rsidR="00ED49DA">
        <w:rPr>
          <w:rFonts w:asciiTheme="minorHAnsi" w:hAnsiTheme="minorHAnsi"/>
          <w:color w:val="auto"/>
          <w:sz w:val="22"/>
          <w:szCs w:val="22"/>
        </w:rPr>
        <w:t xml:space="preserve">, as reported by </w:t>
      </w:r>
      <w:r w:rsidR="00ED49DA" w:rsidRPr="001077C2">
        <w:rPr>
          <w:rFonts w:asciiTheme="minorHAnsi" w:hAnsiTheme="minorHAnsi"/>
          <w:color w:val="auto"/>
          <w:sz w:val="22"/>
          <w:szCs w:val="22"/>
        </w:rPr>
        <w:t xml:space="preserve">survey respondents </w:t>
      </w:r>
      <w:r w:rsidR="00ED49DA">
        <w:rPr>
          <w:rFonts w:asciiTheme="minorHAnsi" w:hAnsiTheme="minorHAnsi"/>
          <w:color w:val="auto"/>
          <w:sz w:val="22"/>
          <w:szCs w:val="22"/>
        </w:rPr>
        <w:t xml:space="preserve">to the </w:t>
      </w:r>
      <w:r w:rsidR="00B566F5" w:rsidRPr="00732E64">
        <w:rPr>
          <w:rFonts w:asciiTheme="minorHAnsi" w:hAnsiTheme="minorHAnsi"/>
          <w:color w:val="auto"/>
          <w:sz w:val="22"/>
          <w:szCs w:val="22"/>
        </w:rPr>
        <w:t>2016 stakeholder survey</w:t>
      </w:r>
      <w:r w:rsidR="00ED49DA">
        <w:rPr>
          <w:rFonts w:asciiTheme="minorHAnsi" w:hAnsiTheme="minorHAnsi"/>
          <w:color w:val="auto"/>
          <w:sz w:val="22"/>
          <w:szCs w:val="22"/>
        </w:rPr>
        <w:t>.</w:t>
      </w:r>
      <w:r w:rsidR="00B566F5" w:rsidRPr="00732E64">
        <w:rPr>
          <w:rFonts w:asciiTheme="minorHAnsi" w:hAnsiTheme="minorHAnsi"/>
          <w:color w:val="auto"/>
          <w:sz w:val="22"/>
          <w:szCs w:val="22"/>
        </w:rPr>
        <w:t xml:space="preserve">  </w:t>
      </w:r>
    </w:p>
    <w:p w14:paraId="544CA1E7" w14:textId="77777777" w:rsidR="008E54A5" w:rsidRDefault="008E54A5" w:rsidP="00732E64">
      <w:pPr>
        <w:pStyle w:val="Heading2"/>
        <w:spacing w:before="240" w:after="120" w:line="240" w:lineRule="auto"/>
      </w:pPr>
      <w:bookmarkStart w:id="24" w:name="_Toc468884910"/>
      <w:r>
        <w:t>KPI Expectations</w:t>
      </w:r>
      <w:bookmarkEnd w:id="23"/>
      <w:bookmarkEnd w:id="24"/>
    </w:p>
    <w:p w14:paraId="7F9510E3" w14:textId="3E643D2F" w:rsidR="004630EE" w:rsidRPr="00B318F2" w:rsidRDefault="00642CE5" w:rsidP="00732E64">
      <w:pPr>
        <w:spacing w:line="240" w:lineRule="auto"/>
      </w:pPr>
      <w:r>
        <w:t xml:space="preserve">The intention of this KPI is to </w:t>
      </w:r>
      <w:r w:rsidR="0005306D">
        <w:t>ensure</w:t>
      </w:r>
      <w:r>
        <w:t xml:space="preserve"> regulators always </w:t>
      </w:r>
      <w:r w:rsidR="003C1D59">
        <w:t>consider</w:t>
      </w:r>
      <w:r w:rsidR="000C0DD8">
        <w:t xml:space="preserve"> </w:t>
      </w:r>
      <w:r>
        <w:t xml:space="preserve">the legislative and authorising environment and </w:t>
      </w:r>
      <w:r w:rsidR="00055524">
        <w:t>that they seek to minimise</w:t>
      </w:r>
      <w:r>
        <w:t xml:space="preserve"> </w:t>
      </w:r>
      <w:r w:rsidR="00055524">
        <w:t xml:space="preserve">the </w:t>
      </w:r>
      <w:r>
        <w:t>potential negativ</w:t>
      </w:r>
      <w:r w:rsidR="00055524">
        <w:t>e impact of regulatory activity</w:t>
      </w:r>
      <w:r>
        <w:t xml:space="preserve"> where appropriate. </w:t>
      </w:r>
      <w:r w:rsidR="00055524">
        <w:t xml:space="preserve"> Regulators seek to avoid imposing unnecessary costs in the design and review of </w:t>
      </w:r>
      <w:r>
        <w:t>policies, procedure</w:t>
      </w:r>
      <w:r w:rsidR="000C0DD8">
        <w:t>s</w:t>
      </w:r>
      <w:r>
        <w:t xml:space="preserve"> and practices.</w:t>
      </w:r>
      <w:r w:rsidR="00D70DD7">
        <w:t xml:space="preserve"> </w:t>
      </w:r>
      <w:r w:rsidR="00055524">
        <w:t xml:space="preserve"> </w:t>
      </w:r>
      <w:r w:rsidR="00D70DD7" w:rsidRPr="00764E8D">
        <w:t xml:space="preserve">This includes engaging with </w:t>
      </w:r>
      <w:r w:rsidR="00797B83" w:rsidRPr="00764E8D">
        <w:t>external</w:t>
      </w:r>
      <w:r w:rsidR="00D70DD7" w:rsidRPr="00764E8D">
        <w:t xml:space="preserve"> organisations to learn and share experiences.</w:t>
      </w:r>
    </w:p>
    <w:p w14:paraId="006E761B" w14:textId="301476EA" w:rsidR="00686DDC" w:rsidRDefault="00C31610" w:rsidP="00732E64">
      <w:pPr>
        <w:pStyle w:val="Heading2"/>
        <w:spacing w:after="120" w:line="240" w:lineRule="auto"/>
      </w:pPr>
      <w:bookmarkStart w:id="25" w:name="_Toc468884911"/>
      <w:r>
        <w:t>NOPTA’s Approach</w:t>
      </w:r>
      <w:bookmarkEnd w:id="25"/>
      <w:r w:rsidR="00686DDC" w:rsidRPr="00686DDC">
        <w:t xml:space="preserve"> </w:t>
      </w:r>
    </w:p>
    <w:p w14:paraId="1AEC01F2" w14:textId="10FF422E" w:rsidR="008E54A5" w:rsidRDefault="00686DDC" w:rsidP="00732E64">
      <w:pPr>
        <w:spacing w:line="240" w:lineRule="auto"/>
      </w:pPr>
      <w:r w:rsidRPr="00A37C75">
        <w:t xml:space="preserve">During the reporting period NOPTA sought to reduce regulatory burden and improve the efficiency </w:t>
      </w:r>
      <w:r w:rsidR="005275D5">
        <w:t xml:space="preserve">and transparency </w:t>
      </w:r>
      <w:r w:rsidRPr="00A37C75">
        <w:t xml:space="preserve">of its administrative and advice functions.  This was achieved through identifying </w:t>
      </w:r>
      <w:r>
        <w:t xml:space="preserve">improvements </w:t>
      </w:r>
      <w:r w:rsidRPr="00A37C75">
        <w:t xml:space="preserve">and engaging </w:t>
      </w:r>
      <w:r>
        <w:t xml:space="preserve">relevant </w:t>
      </w:r>
      <w:r w:rsidR="001E2D3A">
        <w:t>stakeholders</w:t>
      </w:r>
      <w:r w:rsidR="00C74312">
        <w:t xml:space="preserve"> </w:t>
      </w:r>
      <w:r>
        <w:t>to progress and action</w:t>
      </w:r>
      <w:r w:rsidR="00D00BED">
        <w:t>, for example developing templates and learning from our international counterparts</w:t>
      </w:r>
      <w:r w:rsidRPr="00A37C75">
        <w:t xml:space="preserve">.  </w:t>
      </w:r>
    </w:p>
    <w:p w14:paraId="13084708" w14:textId="7D171FB0" w:rsidR="008E54A5" w:rsidRDefault="008E54A5" w:rsidP="008341FF">
      <w:pPr>
        <w:pStyle w:val="Heading2"/>
        <w:spacing w:before="240" w:after="120" w:line="240" w:lineRule="auto"/>
      </w:pPr>
      <w:bookmarkStart w:id="26" w:name="_Toc453069560"/>
      <w:bookmarkStart w:id="27" w:name="_Toc468884912"/>
      <w:r>
        <w:t>Results</w:t>
      </w:r>
      <w:bookmarkEnd w:id="26"/>
      <w:bookmarkEnd w:id="27"/>
    </w:p>
    <w:p w14:paraId="5F7063FF" w14:textId="23C55906" w:rsidR="00B7619A" w:rsidRPr="00C267D5" w:rsidRDefault="00B7619A" w:rsidP="00C267D5">
      <w:pPr>
        <w:pStyle w:val="Heading3"/>
      </w:pPr>
      <w:r w:rsidRPr="00C267D5">
        <w:t>Timeliness of decision-making and NOPTA processes</w:t>
      </w:r>
    </w:p>
    <w:p w14:paraId="5818B108" w14:textId="77777777" w:rsidR="00C375BF" w:rsidRDefault="00C375BF" w:rsidP="00C375BF">
      <w:pPr>
        <w:spacing w:line="240" w:lineRule="auto"/>
      </w:pPr>
      <w:r w:rsidRPr="00FE0E8B">
        <w:t xml:space="preserve">NOPTA encourages regular engagement with titleholders to share information related to application processes and expectations. </w:t>
      </w:r>
    </w:p>
    <w:p w14:paraId="49C26B25" w14:textId="197B4CCE" w:rsidR="005275D5" w:rsidRDefault="005275D5" w:rsidP="00732E64">
      <w:pPr>
        <w:spacing w:line="240" w:lineRule="auto"/>
      </w:pPr>
      <w:r>
        <w:t xml:space="preserve">In </w:t>
      </w:r>
      <w:r w:rsidR="00C375BF">
        <w:t xml:space="preserve">May </w:t>
      </w:r>
      <w:r>
        <w:t>201</w:t>
      </w:r>
      <w:r w:rsidR="00C375BF">
        <w:t>6</w:t>
      </w:r>
      <w:r>
        <w:t xml:space="preserve"> </w:t>
      </w:r>
      <w:r w:rsidR="00C375BF">
        <w:t xml:space="preserve">the Joint Authorities agreed to make </w:t>
      </w:r>
      <w:r w:rsidR="00B11DEB">
        <w:t xml:space="preserve">the </w:t>
      </w:r>
      <w:r>
        <w:t>‘Operating Protocols for Offshore Petroleum Joint Authorities and supporting institutions’ (</w:t>
      </w:r>
      <w:r w:rsidRPr="004F5504">
        <w:t>Joint Authority Protocol</w:t>
      </w:r>
      <w:r>
        <w:t xml:space="preserve">) </w:t>
      </w:r>
      <w:r w:rsidR="00C375BF">
        <w:t>public</w:t>
      </w:r>
      <w:r w:rsidR="00142330">
        <w:t xml:space="preserve">. The transparency benefit of </w:t>
      </w:r>
      <w:r w:rsidR="00CC4B84">
        <w:t>publishing</w:t>
      </w:r>
      <w:r w:rsidR="00142330">
        <w:t xml:space="preserve"> the </w:t>
      </w:r>
      <w:r w:rsidR="00CC4B84">
        <w:t xml:space="preserve">protocol’s </w:t>
      </w:r>
      <w:r w:rsidR="00732E64">
        <w:t>indicative</w:t>
      </w:r>
      <w:r w:rsidR="00142330">
        <w:t xml:space="preserve"> timing</w:t>
      </w:r>
      <w:r w:rsidR="00CC4B84">
        <w:t>s</w:t>
      </w:r>
      <w:r w:rsidR="00142330">
        <w:t xml:space="preserve"> for NOPTA’s advice and Joint Authority decisions</w:t>
      </w:r>
      <w:r w:rsidR="00CC4B84">
        <w:t xml:space="preserve"> </w:t>
      </w:r>
      <w:r w:rsidR="00142330">
        <w:t xml:space="preserve">was captured as a recommendation in the </w:t>
      </w:r>
      <w:r>
        <w:t>2015 Operational Review of NOPTA</w:t>
      </w:r>
      <w:r w:rsidR="00142330">
        <w:t xml:space="preserve">.  </w:t>
      </w:r>
      <w:r w:rsidR="008B5388">
        <w:t xml:space="preserve">This transparency allows stakeholders to </w:t>
      </w:r>
      <w:r w:rsidR="003E31DD">
        <w:t xml:space="preserve">use these </w:t>
      </w:r>
      <w:r w:rsidR="008B5388">
        <w:t xml:space="preserve">timeframes </w:t>
      </w:r>
      <w:r w:rsidR="003E31DD">
        <w:t>for</w:t>
      </w:r>
      <w:r w:rsidR="008B5388">
        <w:t xml:space="preserve"> their internal scheduling.</w:t>
      </w:r>
    </w:p>
    <w:p w14:paraId="7CECB324" w14:textId="3438858D" w:rsidR="007903BF" w:rsidRPr="00FE0E8B" w:rsidRDefault="004C0F3E" w:rsidP="00732E64">
      <w:pPr>
        <w:spacing w:line="240" w:lineRule="auto"/>
      </w:pPr>
      <w:r w:rsidRPr="00FE0E8B">
        <w:t xml:space="preserve">In 2015-2016 NOPTA processed </w:t>
      </w:r>
      <w:r w:rsidR="00732E64" w:rsidRPr="00FE0E8B">
        <w:t xml:space="preserve">478 </w:t>
      </w:r>
      <w:r w:rsidRPr="00FE0E8B">
        <w:t xml:space="preserve">applications. NOPTA made </w:t>
      </w:r>
      <w:r w:rsidR="00732E64" w:rsidRPr="00FE0E8B">
        <w:t>224</w:t>
      </w:r>
      <w:r w:rsidRPr="00FE0E8B">
        <w:t xml:space="preserve"> decisions on transfers, dealing, special prospecting authorities or access authorities.</w:t>
      </w:r>
      <w:r w:rsidR="00C375BF" w:rsidRPr="00FE0E8B">
        <w:t xml:space="preserve"> </w:t>
      </w:r>
      <w:r w:rsidR="0016215A">
        <w:t xml:space="preserve">NOPTA provided advice to the Joint Authorities on 254 applications. </w:t>
      </w:r>
      <w:r w:rsidR="00186048" w:rsidRPr="00FE0E8B">
        <w:t xml:space="preserve">NOPTA is refining its processes for recording the timeliness of </w:t>
      </w:r>
      <w:r w:rsidR="00C375BF" w:rsidRPr="00FE0E8B">
        <w:t>advice</w:t>
      </w:r>
      <w:r w:rsidR="00186048" w:rsidRPr="00FE0E8B">
        <w:t xml:space="preserve">, noting this is the </w:t>
      </w:r>
      <w:r w:rsidR="007903BF" w:rsidRPr="00FE0E8B">
        <w:t xml:space="preserve">first year </w:t>
      </w:r>
      <w:r w:rsidR="00C375BF" w:rsidRPr="00FE0E8B">
        <w:t>the Joint Authority Protocol has been publically available</w:t>
      </w:r>
      <w:r w:rsidR="00186048" w:rsidRPr="00FE0E8B">
        <w:t>.</w:t>
      </w:r>
      <w:r w:rsidR="007903BF" w:rsidRPr="00FE0E8B">
        <w:t xml:space="preserve"> </w:t>
      </w:r>
      <w:r w:rsidR="005D3B83">
        <w:t>From the information that has been collected NOPTA has met the timeframes within the Joint Authority Protocol in relation to 90 per cent of applications (out of 224</w:t>
      </w:r>
      <w:r w:rsidR="003E31DD">
        <w:t xml:space="preserve"> not 254</w:t>
      </w:r>
      <w:r w:rsidR="005D3B83">
        <w:t>).</w:t>
      </w:r>
      <w:r w:rsidR="003E31DD">
        <w:t xml:space="preserve"> In 2016-17 NOPTA will update its systems to collect data for all application made to the Joint Authority.</w:t>
      </w:r>
    </w:p>
    <w:p w14:paraId="17F2B3AA" w14:textId="5E43D00E" w:rsidR="00F402F8" w:rsidRPr="00FE0E8B" w:rsidRDefault="004C0F3E" w:rsidP="00732E64">
      <w:pPr>
        <w:spacing w:line="240" w:lineRule="auto"/>
      </w:pPr>
      <w:r w:rsidRPr="00FE0E8B">
        <w:lastRenderedPageBreak/>
        <w:t>NOPTA processed</w:t>
      </w:r>
      <w:r w:rsidR="00DB64E7">
        <w:t xml:space="preserve"> data from</w:t>
      </w:r>
      <w:r w:rsidRPr="00FE0E8B">
        <w:t xml:space="preserve"> </w:t>
      </w:r>
      <w:r w:rsidR="00C375BF" w:rsidRPr="00FE0E8B">
        <w:t xml:space="preserve">129 </w:t>
      </w:r>
      <w:r w:rsidRPr="00FE0E8B">
        <w:t xml:space="preserve">well </w:t>
      </w:r>
      <w:r w:rsidR="00DB64E7">
        <w:t>activitie</w:t>
      </w:r>
      <w:r w:rsidRPr="00FE0E8B">
        <w:t xml:space="preserve">s and </w:t>
      </w:r>
      <w:r w:rsidR="00C375BF" w:rsidRPr="00FE0E8B">
        <w:t xml:space="preserve">146 </w:t>
      </w:r>
      <w:r w:rsidRPr="00FE0E8B">
        <w:t>survey</w:t>
      </w:r>
      <w:r w:rsidR="000D0382">
        <w:t xml:space="preserve"> activities</w:t>
      </w:r>
      <w:r w:rsidRPr="00FE0E8B">
        <w:t xml:space="preserve">. Of these </w:t>
      </w:r>
      <w:r w:rsidR="00CA12C0" w:rsidRPr="00FE0E8B">
        <w:t>73</w:t>
      </w:r>
      <w:r w:rsidR="00795892">
        <w:t xml:space="preserve"> per cent</w:t>
      </w:r>
      <w:r w:rsidR="00CA12C0" w:rsidRPr="00FE0E8B">
        <w:t xml:space="preserve"> </w:t>
      </w:r>
      <w:r w:rsidRPr="00FE0E8B">
        <w:t>were received on time.</w:t>
      </w:r>
      <w:r w:rsidR="007903BF" w:rsidRPr="00FE0E8B">
        <w:t xml:space="preserve"> One of NOPTA’s key functions is the collection and release of data submissions. Since NOPTA’s commencement significant</w:t>
      </w:r>
      <w:r w:rsidR="008B5388">
        <w:t xml:space="preserve"> effort</w:t>
      </w:r>
      <w:r w:rsidR="007903BF" w:rsidRPr="00FE0E8B">
        <w:t xml:space="preserve"> has been made to make sure that the submissions received are complete and compliant.</w:t>
      </w:r>
      <w:r w:rsidR="00DB64E7">
        <w:t xml:space="preserve"> </w:t>
      </w:r>
      <w:r w:rsidR="008B5388">
        <w:t>This will make sure that, where releasable, complete data will be available for future stakeholders.</w:t>
      </w:r>
    </w:p>
    <w:p w14:paraId="35BF7288" w14:textId="73D26FB4" w:rsidR="004C0F3E" w:rsidRPr="00CA12C0" w:rsidRDefault="00CA12C0" w:rsidP="00732E64">
      <w:pPr>
        <w:spacing w:line="240" w:lineRule="auto"/>
      </w:pPr>
      <w:r w:rsidRPr="00FE0E8B">
        <w:t xml:space="preserve">During 2015-2016, NOPTA released 238 data submissions as permitted by the </w:t>
      </w:r>
      <w:r w:rsidRPr="00FE0E8B">
        <w:rPr>
          <w:i/>
        </w:rPr>
        <w:t>Offshore Petroleum and Green</w:t>
      </w:r>
      <w:r>
        <w:rPr>
          <w:i/>
        </w:rPr>
        <w:t>house Gas Storage (Resource Management and Administration) Regulations 2011</w:t>
      </w:r>
      <w:r w:rsidR="00BF0AEC">
        <w:rPr>
          <w:i/>
        </w:rPr>
        <w:t xml:space="preserve"> </w:t>
      </w:r>
      <w:r w:rsidR="00BF0AEC">
        <w:t>(the Regulations)</w:t>
      </w:r>
      <w:r>
        <w:t>.</w:t>
      </w:r>
    </w:p>
    <w:p w14:paraId="5EB73C41" w14:textId="4F1DF92D" w:rsidR="00094817" w:rsidRDefault="00B7619A" w:rsidP="00C267D5">
      <w:pPr>
        <w:pStyle w:val="Heading3"/>
      </w:pPr>
      <w:r>
        <w:t xml:space="preserve">Supporting efficient regulation – advice and decision-making </w:t>
      </w:r>
    </w:p>
    <w:p w14:paraId="265E6B92" w14:textId="222C5D2E" w:rsidR="00094817" w:rsidRPr="001E03DC" w:rsidRDefault="00094817" w:rsidP="00732E64">
      <w:pPr>
        <w:spacing w:line="240" w:lineRule="auto"/>
      </w:pPr>
      <w:r>
        <w:t xml:space="preserve">A core function of NOPTA is providing advice to the Joint Authorities.  NOPTA rated exceptionally well on this function </w:t>
      </w:r>
      <w:r w:rsidR="00B7619A">
        <w:t xml:space="preserve">in the 2016 stakeholder survey </w:t>
      </w:r>
      <w:r>
        <w:t>noting that J</w:t>
      </w:r>
      <w:r w:rsidRPr="001E03DC">
        <w:t xml:space="preserve">oint Authority </w:t>
      </w:r>
      <w:r>
        <w:t xml:space="preserve">survey </w:t>
      </w:r>
      <w:r w:rsidRPr="001E03DC">
        <w:t xml:space="preserve">respondents did not identify any dissatisfaction with any aspect of </w:t>
      </w:r>
      <w:r>
        <w:t>NOPTA’s</w:t>
      </w:r>
      <w:r w:rsidRPr="001E03DC">
        <w:t xml:space="preserve"> advice to support Jo</w:t>
      </w:r>
      <w:r w:rsidR="000F47E1">
        <w:t>int Authority decision-making.</w:t>
      </w:r>
    </w:p>
    <w:p w14:paraId="0F519037" w14:textId="55485C26" w:rsidR="00094817" w:rsidRDefault="00094817" w:rsidP="00732E64">
      <w:pPr>
        <w:spacing w:line="240" w:lineRule="auto"/>
      </w:pPr>
      <w:r w:rsidRPr="001E03DC">
        <w:t>For the limited range of Title Administrator decisions there was strong satisfaction. Respondents were satisfied</w:t>
      </w:r>
      <w:r w:rsidRPr="001E03DC">
        <w:rPr>
          <w:rStyle w:val="FootnoteReference"/>
        </w:rPr>
        <w:footnoteReference w:id="13"/>
      </w:r>
      <w:r w:rsidRPr="001E03DC">
        <w:t xml:space="preserve"> that</w:t>
      </w:r>
      <w:r>
        <w:t xml:space="preserve"> the decisions were consistent (89 per cent), justified (81 per cent), transparent (77 per cent) and predictable (57 per cent).  The majority of respondents considered titleholder decisions predictable but rated it lower relative to other measures.  This may be due to the discretionary nature of the Title Administrator’s decision-making powers under the legislation.  </w:t>
      </w:r>
    </w:p>
    <w:p w14:paraId="3C0DEBAD" w14:textId="2EC9DBF0" w:rsidR="00DC579A" w:rsidRPr="00224515" w:rsidRDefault="0016537A" w:rsidP="00C267D5">
      <w:pPr>
        <w:pStyle w:val="Heading3"/>
      </w:pPr>
      <w:r>
        <w:t xml:space="preserve">Improving regulatory efficiency </w:t>
      </w:r>
    </w:p>
    <w:p w14:paraId="0471D6E9" w14:textId="77777777" w:rsidR="003E31DD" w:rsidRDefault="00DC579A" w:rsidP="00732E64">
      <w:pPr>
        <w:spacing w:before="240" w:line="240" w:lineRule="auto"/>
      </w:pPr>
      <w:r>
        <w:t xml:space="preserve">Recommendation 3 of the </w:t>
      </w:r>
      <w:r w:rsidR="00D94703">
        <w:t>2015 Operational R</w:t>
      </w:r>
      <w:r w:rsidR="000C0DD8">
        <w:t xml:space="preserve">eview </w:t>
      </w:r>
      <w:r w:rsidR="00D94703">
        <w:t xml:space="preserve">of </w:t>
      </w:r>
      <w:r w:rsidR="00CE602B">
        <w:t>NOPTA,</w:t>
      </w:r>
      <w:r w:rsidR="00C5652E">
        <w:t xml:space="preserve"> which was accepted by the Australian Government, provided ‘</w:t>
      </w:r>
      <w:r w:rsidR="000C0DD8" w:rsidRPr="00CA071E">
        <w:rPr>
          <w:i/>
        </w:rPr>
        <w:t xml:space="preserve">That </w:t>
      </w:r>
      <w:r w:rsidR="000C0DD8">
        <w:rPr>
          <w:i/>
        </w:rPr>
        <w:t>the feasibility of delegating simple decisions to the Title Administrator is investigated</w:t>
      </w:r>
      <w:r w:rsidR="00C5652E" w:rsidRPr="007903BF">
        <w:t>.</w:t>
      </w:r>
      <w:r w:rsidR="00C5652E">
        <w:t xml:space="preserve">’ </w:t>
      </w:r>
    </w:p>
    <w:p w14:paraId="21CFFA79" w14:textId="77777777" w:rsidR="003E31DD" w:rsidRDefault="003E31DD" w:rsidP="003E31DD">
      <w:pPr>
        <w:spacing w:before="240" w:line="240" w:lineRule="auto"/>
      </w:pPr>
      <w:r w:rsidRPr="00D127EF">
        <w:t>More broadly, the Joint Authorities have agreed with NOPTA’s advice recommendations on key decisions</w:t>
      </w:r>
      <w:r w:rsidRPr="00D127EF">
        <w:rPr>
          <w:rStyle w:val="FootnoteReference"/>
        </w:rPr>
        <w:footnoteReference w:id="14"/>
      </w:r>
      <w:r w:rsidRPr="00D127EF">
        <w:t xml:space="preserve"> in over 96 per cent</w:t>
      </w:r>
      <w:r w:rsidRPr="00D127EF">
        <w:rPr>
          <w:rStyle w:val="FootnoteReference"/>
        </w:rPr>
        <w:footnoteReference w:id="15"/>
      </w:r>
      <w:r w:rsidRPr="00D127EF">
        <w:t xml:space="preserve"> of all cases, since NOPTA’s establishment in 2012.  This alignment of independent advice by NOPTA and the final judgment by Joint Authorities will help to provide confidence to stakeholders during any legislative consultations relevant to delegating simple decisions to the Titles Administrator</w:t>
      </w:r>
      <w:r w:rsidRPr="00D127EF">
        <w:rPr>
          <w:b/>
        </w:rPr>
        <w:t>.</w:t>
      </w:r>
    </w:p>
    <w:p w14:paraId="392F7C72" w14:textId="1010C70D" w:rsidR="00790400" w:rsidRDefault="000C0DD8" w:rsidP="00732E64">
      <w:pPr>
        <w:spacing w:before="240" w:line="240" w:lineRule="auto"/>
      </w:pPr>
      <w:r>
        <w:t xml:space="preserve">NOPTA </w:t>
      </w:r>
      <w:r w:rsidR="00A04AAD">
        <w:t>undertook some preliminary work to identify</w:t>
      </w:r>
      <w:r>
        <w:t xml:space="preserve"> potential decisions for delegation</w:t>
      </w:r>
      <w:r w:rsidR="00A04AAD">
        <w:t xml:space="preserve">.  </w:t>
      </w:r>
      <w:r w:rsidR="003E31DD">
        <w:t>However at this time it was</w:t>
      </w:r>
      <w:r w:rsidR="00A04AAD">
        <w:t xml:space="preserve"> concluded that the costs would outweigh the benefits to make these </w:t>
      </w:r>
      <w:r w:rsidR="00170EB4">
        <w:t>changes i.e</w:t>
      </w:r>
      <w:r w:rsidR="00A04AAD">
        <w:t>. the timesaving benefits from delegating certain decisions to NOPTA would be outweighed by the significant overhaul of governance arrangements and legislation that would be required to give effect to such a change.</w:t>
      </w:r>
      <w:r w:rsidR="003E31DD">
        <w:t xml:space="preserve"> This will be monitored and the initiative may be considered further at a later time.</w:t>
      </w:r>
    </w:p>
    <w:p w14:paraId="57D2BD84" w14:textId="187C3195" w:rsidR="00DC579A" w:rsidRPr="00A37C75" w:rsidRDefault="00CE602B" w:rsidP="00C267D5">
      <w:pPr>
        <w:pStyle w:val="Heading3"/>
      </w:pPr>
      <w:r>
        <w:t>Improving the efficiency of regulatory reporting</w:t>
      </w:r>
    </w:p>
    <w:p w14:paraId="5BE5342A" w14:textId="0206A9D2" w:rsidR="00DC579A" w:rsidRPr="00A37C75" w:rsidRDefault="00DC579A" w:rsidP="00732E64">
      <w:pPr>
        <w:spacing w:line="240" w:lineRule="auto"/>
      </w:pPr>
      <w:r w:rsidRPr="00A37C75">
        <w:t xml:space="preserve">The introduction of model templates for </w:t>
      </w:r>
      <w:r>
        <w:t>ATARs in December 2015 aimed</w:t>
      </w:r>
      <w:r w:rsidRPr="00A37C75">
        <w:t xml:space="preserve"> to improve the consistency in reporting required under Part 3 </w:t>
      </w:r>
      <w:r w:rsidR="00BF0AEC">
        <w:t xml:space="preserve">of </w:t>
      </w:r>
      <w:r w:rsidRPr="00A37C75">
        <w:t>the Regulations and clarify expectations.</w:t>
      </w:r>
      <w:r w:rsidR="00BF0AEC">
        <w:rPr>
          <w:rStyle w:val="FootnoteReference"/>
        </w:rPr>
        <w:footnoteReference w:id="16"/>
      </w:r>
      <w:r w:rsidRPr="00A37C75">
        <w:t xml:space="preserve">  A formal industry consultation from 3 September to 2 October 2015 </w:t>
      </w:r>
      <w:r>
        <w:t>indicated</w:t>
      </w:r>
      <w:r w:rsidRPr="00A37C75">
        <w:t xml:space="preserve"> </w:t>
      </w:r>
      <w:r>
        <w:t xml:space="preserve">strong support from </w:t>
      </w:r>
      <w:r w:rsidRPr="00A37C75">
        <w:t xml:space="preserve">a peak industry </w:t>
      </w:r>
      <w:r w:rsidRPr="00A37C75">
        <w:lastRenderedPageBreak/>
        <w:t xml:space="preserve">body, Australian and state government agencies and a number of oil and gas </w:t>
      </w:r>
      <w:r w:rsidRPr="004E0299">
        <w:t>companies. Industry feedback was incorporated into the design and implementation of the ATAR templates.</w:t>
      </w:r>
      <w:r>
        <w:t xml:space="preserve">  </w:t>
      </w:r>
    </w:p>
    <w:p w14:paraId="030F21C1" w14:textId="41CCAF72" w:rsidR="00DC579A" w:rsidRPr="00DC579A" w:rsidRDefault="00DC579A" w:rsidP="00732E64">
      <w:pPr>
        <w:spacing w:line="240" w:lineRule="auto"/>
        <w:rPr>
          <w:strike/>
        </w:rPr>
      </w:pPr>
      <w:r w:rsidRPr="00A37C75">
        <w:t>The templates have resulted in an increase in the consistency of reporting and an increase in the compliance against the Regulations in terms of providing the information required.</w:t>
      </w:r>
      <w:r w:rsidR="00BF0AEC">
        <w:t xml:space="preserve"> By</w:t>
      </w:r>
      <w:r w:rsidRPr="00A37C75">
        <w:t xml:space="preserve"> not </w:t>
      </w:r>
      <w:r w:rsidR="00BF0AEC">
        <w:t xml:space="preserve">needing to </w:t>
      </w:r>
      <w:r w:rsidRPr="00A37C75">
        <w:t xml:space="preserve">seek additional information </w:t>
      </w:r>
      <w:r w:rsidR="00BF0AEC">
        <w:t>t</w:t>
      </w:r>
      <w:r w:rsidR="00BF0AEC" w:rsidRPr="00A37C75">
        <w:t>his has saved time for titleholders and NOPTA staff</w:t>
      </w:r>
      <w:r w:rsidRPr="00A37C75">
        <w:t>.</w:t>
      </w:r>
      <w:r>
        <w:t xml:space="preserve">  </w:t>
      </w:r>
    </w:p>
    <w:p w14:paraId="2A5C230F" w14:textId="6473882C" w:rsidR="00EC04A9" w:rsidRDefault="00DC579A" w:rsidP="00C267D5">
      <w:pPr>
        <w:pStyle w:val="Heading3"/>
      </w:pPr>
      <w:r w:rsidRPr="00B74795">
        <w:t>Engaging with international counterparts</w:t>
      </w:r>
      <w:r w:rsidRPr="00B770C1">
        <w:t xml:space="preserve"> </w:t>
      </w:r>
    </w:p>
    <w:p w14:paraId="67B814C0" w14:textId="774AECDA" w:rsidR="00EC04A9" w:rsidRDefault="004C0F3E" w:rsidP="00FE0E8B">
      <w:pPr>
        <w:spacing w:line="240" w:lineRule="auto"/>
      </w:pPr>
      <w:r w:rsidRPr="007903BF">
        <w:t xml:space="preserve">NOPTA is a member of a number of international </w:t>
      </w:r>
      <w:r w:rsidR="008B74C1">
        <w:t xml:space="preserve">working </w:t>
      </w:r>
      <w:r>
        <w:t>gr</w:t>
      </w:r>
      <w:r w:rsidRPr="007903BF">
        <w:t>oups</w:t>
      </w:r>
      <w:r w:rsidR="008B74C1">
        <w:t xml:space="preserve"> and bodies</w:t>
      </w:r>
      <w:r w:rsidRPr="007903BF">
        <w:t xml:space="preserve">. These memberships </w:t>
      </w:r>
      <w:r>
        <w:t>keep NOPTA informed</w:t>
      </w:r>
      <w:r w:rsidR="00EC04A9">
        <w:t xml:space="preserve"> and engaged with </w:t>
      </w:r>
      <w:r w:rsidR="008B74C1">
        <w:t xml:space="preserve">evolving </w:t>
      </w:r>
      <w:r>
        <w:t>international standards</w:t>
      </w:r>
      <w:r w:rsidR="00EC04A9">
        <w:t xml:space="preserve"> and practices.  </w:t>
      </w:r>
    </w:p>
    <w:p w14:paraId="6BDE2A4D" w14:textId="1F0DF3F0" w:rsidR="00E11DC6" w:rsidRDefault="00EB04B0" w:rsidP="00FE0E8B">
      <w:pPr>
        <w:spacing w:line="240" w:lineRule="auto"/>
      </w:pPr>
      <w:r>
        <w:t>NOPTA is a member of the International Upstream Forum</w:t>
      </w:r>
      <w:r w:rsidR="00E11DC6">
        <w:t xml:space="preserve"> and a contributory member of the </w:t>
      </w:r>
      <w:r w:rsidR="003F328E" w:rsidRPr="00FE0E8B">
        <w:t xml:space="preserve">Professional Petroleum Data Management </w:t>
      </w:r>
      <w:r w:rsidR="003F328E">
        <w:t>(</w:t>
      </w:r>
      <w:r w:rsidR="00BF0AEC">
        <w:t>PPDM</w:t>
      </w:r>
      <w:r w:rsidR="003F328E">
        <w:t>)</w:t>
      </w:r>
      <w:r w:rsidR="00E11DC6">
        <w:t xml:space="preserve"> Association.</w:t>
      </w:r>
      <w:r w:rsidR="00E11DC6" w:rsidRPr="00070B56">
        <w:t xml:space="preserve"> </w:t>
      </w:r>
      <w:r w:rsidR="00E11DC6" w:rsidRPr="003379ED">
        <w:t xml:space="preserve">NOPTA actively participates in data standards forums including Energistics through the National Data Repositories work group; and as a </w:t>
      </w:r>
      <w:r w:rsidR="00E11DC6" w:rsidRPr="00850C4A">
        <w:t>member of the PPDM Regulatory Data Standards Initiative Steering Committee.</w:t>
      </w:r>
      <w:r w:rsidR="00C23D81">
        <w:t xml:space="preserve"> NOPTA also attends International Regulator’s Forum and is engaged on one of its working parties.</w:t>
      </w:r>
    </w:p>
    <w:p w14:paraId="7674192B" w14:textId="5EF66BB3" w:rsidR="008B5388" w:rsidRPr="00850C4A" w:rsidRDefault="008B5388" w:rsidP="00FE0E8B">
      <w:pPr>
        <w:spacing w:line="240" w:lineRule="auto"/>
      </w:pPr>
      <w:r>
        <w:t>NOPTA is committed to learning from peer experiences in implementing continuous improvement strategies to reduce the costs of compliance for those they regulate.</w:t>
      </w:r>
    </w:p>
    <w:p w14:paraId="5AF68BE0" w14:textId="77777777" w:rsidR="00941577" w:rsidRDefault="00DC579A" w:rsidP="00C267D5">
      <w:pPr>
        <w:pStyle w:val="Heading3"/>
      </w:pPr>
      <w:r>
        <w:t xml:space="preserve">Cost effectiveness  </w:t>
      </w:r>
    </w:p>
    <w:p w14:paraId="3BF33F5D" w14:textId="77777777" w:rsidR="00941577" w:rsidRDefault="00132EFF" w:rsidP="00941577">
      <w:pPr>
        <w:spacing w:line="240" w:lineRule="auto"/>
      </w:pPr>
      <w:r w:rsidRPr="00AF76A5">
        <w:rPr>
          <w:lang w:val="en-US"/>
        </w:rPr>
        <w:t xml:space="preserve">Since its </w:t>
      </w:r>
      <w:r>
        <w:rPr>
          <w:lang w:val="en-US"/>
        </w:rPr>
        <w:t xml:space="preserve">2012 </w:t>
      </w:r>
      <w:r w:rsidRPr="00AF76A5">
        <w:rPr>
          <w:lang w:val="en-US"/>
        </w:rPr>
        <w:t>establishment NOPTA has maintained a low cost delivery of its legislated functions. A recent assessment of NOPTA’s structure, resources and skills found that NOPTA’s staffing level was significantly below that of previous arrangements by 44</w:t>
      </w:r>
      <w:r w:rsidR="000E3848">
        <w:rPr>
          <w:lang w:val="en-US"/>
        </w:rPr>
        <w:t xml:space="preserve"> per cent</w:t>
      </w:r>
      <w:r w:rsidRPr="00AF76A5">
        <w:rPr>
          <w:lang w:val="en-US"/>
        </w:rPr>
        <w:t>. A comparison between NOPTA and similar overseas bodies</w:t>
      </w:r>
      <w:r>
        <w:rPr>
          <w:rStyle w:val="FootnoteReference"/>
          <w:lang w:val="en-US"/>
        </w:rPr>
        <w:footnoteReference w:id="17"/>
      </w:r>
      <w:r w:rsidRPr="00AF76A5">
        <w:rPr>
          <w:lang w:val="en-US"/>
        </w:rPr>
        <w:t xml:space="preserve">also </w:t>
      </w:r>
      <w:r>
        <w:rPr>
          <w:lang w:val="en-US"/>
        </w:rPr>
        <w:t>noted</w:t>
      </w:r>
      <w:r w:rsidRPr="00AF76A5">
        <w:rPr>
          <w:lang w:val="en-US"/>
        </w:rPr>
        <w:t xml:space="preserve"> that NOPTA is the smallest in terms of establishment. NOPTA is committed to maintain a low cost delivery through continuous process and systems improvement in consultation with industry. </w:t>
      </w:r>
    </w:p>
    <w:p w14:paraId="77DA4480" w14:textId="77777777" w:rsidR="00941577" w:rsidRDefault="00EB04B0" w:rsidP="00941577">
      <w:pPr>
        <w:spacing w:line="240" w:lineRule="auto"/>
      </w:pPr>
      <w:r w:rsidRPr="00F85176">
        <w:t>In 2015-2016 i</w:t>
      </w:r>
      <w:r w:rsidRPr="007903BF">
        <w:t xml:space="preserve">ndustry </w:t>
      </w:r>
      <w:r w:rsidR="000E3848">
        <w:t xml:space="preserve">stakeholders were </w:t>
      </w:r>
      <w:r w:rsidRPr="007903BF">
        <w:t xml:space="preserve">consulted on proposed changes to NOPTA’s </w:t>
      </w:r>
      <w:r w:rsidR="00132EFF">
        <w:t>cost recovery basis</w:t>
      </w:r>
      <w:r w:rsidR="00FE0E8B">
        <w:t xml:space="preserve">. </w:t>
      </w:r>
      <w:r w:rsidR="00132EFF">
        <w:t xml:space="preserve">Consultation with affected stakeholders included feedback </w:t>
      </w:r>
      <w:r w:rsidRPr="007903BF">
        <w:t>that NOPTA has improved efficiency</w:t>
      </w:r>
      <w:r w:rsidR="00D84BD0">
        <w:t>,</w:t>
      </w:r>
      <w:r w:rsidR="00132EFF">
        <w:t xml:space="preserve"> </w:t>
      </w:r>
      <w:r w:rsidRPr="007903BF">
        <w:t xml:space="preserve">provides timely and considered information and </w:t>
      </w:r>
      <w:r w:rsidR="00D84BD0">
        <w:t xml:space="preserve">that </w:t>
      </w:r>
      <w:r w:rsidRPr="007903BF">
        <w:t xml:space="preserve">the </w:t>
      </w:r>
      <w:r w:rsidR="00D84BD0">
        <w:t xml:space="preserve">proposed </w:t>
      </w:r>
      <w:r w:rsidRPr="007903BF">
        <w:t xml:space="preserve">cost increase </w:t>
      </w:r>
      <w:r w:rsidR="008D66C6">
        <w:t>was</w:t>
      </w:r>
      <w:r w:rsidRPr="007903BF">
        <w:t xml:space="preserve"> not significant.</w:t>
      </w:r>
    </w:p>
    <w:p w14:paraId="3B81EC76" w14:textId="0B82DF56" w:rsidR="00A24019" w:rsidRDefault="00EB04B0" w:rsidP="00941577">
      <w:pPr>
        <w:spacing w:line="240" w:lineRule="auto"/>
      </w:pPr>
      <w:r w:rsidRPr="00F85176">
        <w:t>The annual administration levy has</w:t>
      </w:r>
      <w:r w:rsidR="000E3848">
        <w:t xml:space="preserve"> since</w:t>
      </w:r>
      <w:r w:rsidRPr="00F85176">
        <w:t xml:space="preserve"> been aligned to reflect the level of effort required to regulate and administer the different types of titles. </w:t>
      </w:r>
      <w:r w:rsidRPr="007903BF">
        <w:t xml:space="preserve">Applications will now attract a standard fee of $7,500 for NOPTA applications. Providing the single rate for application fees helps relieve regulatory burden </w:t>
      </w:r>
      <w:r w:rsidR="00D84BD0">
        <w:t xml:space="preserve">through a clear and more simplified fee structure. </w:t>
      </w:r>
    </w:p>
    <w:p w14:paraId="3F99AC10" w14:textId="760A45B7" w:rsidR="008E54A5" w:rsidRDefault="008E54A5" w:rsidP="00732E64">
      <w:pPr>
        <w:pStyle w:val="Heading2"/>
        <w:spacing w:before="240" w:after="120" w:line="240" w:lineRule="auto"/>
      </w:pPr>
      <w:bookmarkStart w:id="28" w:name="_Toc453069561"/>
      <w:bookmarkStart w:id="29" w:name="_Toc468884913"/>
      <w:r>
        <w:t>Stakeholder comments</w:t>
      </w:r>
      <w:bookmarkEnd w:id="28"/>
      <w:bookmarkEnd w:id="29"/>
    </w:p>
    <w:p w14:paraId="31BA964F" w14:textId="1466475F" w:rsidR="00963836" w:rsidRPr="00A37C75" w:rsidRDefault="00963836" w:rsidP="00732E64">
      <w:pPr>
        <w:spacing w:line="240" w:lineRule="auto"/>
      </w:pPr>
      <w:r w:rsidRPr="00A37C75">
        <w:t xml:space="preserve">NOPTA’s performance and engagement with its stakeholders rated highly positive in the 2016 stakeholder survey.  The stakeholders included offshore petroleum title holders, Joint Authority delegates and Australian Government agencies. </w:t>
      </w:r>
    </w:p>
    <w:p w14:paraId="4D324EBD" w14:textId="7ABC556D" w:rsidR="007267B4" w:rsidRPr="001E03DC" w:rsidRDefault="00F13E17" w:rsidP="00732E64">
      <w:pPr>
        <w:spacing w:line="240" w:lineRule="auto"/>
      </w:pPr>
      <w:r>
        <w:t xml:space="preserve">Overall in </w:t>
      </w:r>
      <w:r w:rsidRPr="001E03DC">
        <w:t>2016 stakeholder respondents indicated a high level of satisfaction with NOPTA’</w:t>
      </w:r>
      <w:r w:rsidR="00932C4F" w:rsidRPr="001E03DC">
        <w:t xml:space="preserve">s staff.  Respondents were satisfied with NOPTA’s </w:t>
      </w:r>
      <w:r w:rsidRPr="001E03DC">
        <w:t>technical competence</w:t>
      </w:r>
      <w:r w:rsidR="00932C4F" w:rsidRPr="001E03DC">
        <w:t xml:space="preserve"> (87 per cent)</w:t>
      </w:r>
      <w:r w:rsidRPr="001E03DC">
        <w:t xml:space="preserve">, </w:t>
      </w:r>
      <w:r w:rsidR="00932C4F" w:rsidRPr="001E03DC">
        <w:t xml:space="preserve">responsiveness (94 per cent), </w:t>
      </w:r>
      <w:r w:rsidRPr="001E03DC">
        <w:t>approachability</w:t>
      </w:r>
      <w:r w:rsidR="00932C4F" w:rsidRPr="001E03DC">
        <w:t xml:space="preserve"> (98 per cent)</w:t>
      </w:r>
      <w:r w:rsidRPr="001E03DC">
        <w:t xml:space="preserve"> and professionalism</w:t>
      </w:r>
      <w:r w:rsidR="00932C4F" w:rsidRPr="001E03DC">
        <w:t xml:space="preserve"> (100 per cent)</w:t>
      </w:r>
      <w:r w:rsidRPr="001E03DC">
        <w:t>.</w:t>
      </w:r>
      <w:r w:rsidR="00F94759" w:rsidRPr="001E03DC">
        <w:rPr>
          <w:rStyle w:val="FootnoteReference"/>
        </w:rPr>
        <w:footnoteReference w:id="18"/>
      </w:r>
      <w:r w:rsidR="00932C4F" w:rsidRPr="001E03DC">
        <w:t xml:space="preserve">  </w:t>
      </w:r>
      <w:r w:rsidR="00924C33" w:rsidRPr="001E03DC">
        <w:t xml:space="preserve">A </w:t>
      </w:r>
      <w:r w:rsidR="00631594" w:rsidRPr="001E03DC">
        <w:t xml:space="preserve">100 </w:t>
      </w:r>
      <w:r w:rsidR="007267B4" w:rsidRPr="001E03DC">
        <w:t xml:space="preserve">per cent of respondents considered that NOPTA makes a valuable contribution to the process of managing Australia’s resources to a great extent </w:t>
      </w:r>
      <w:r w:rsidR="00924C33" w:rsidRPr="001E03DC">
        <w:t xml:space="preserve">(65 per cent) </w:t>
      </w:r>
      <w:r w:rsidR="007267B4" w:rsidRPr="001E03DC">
        <w:t>or some extent</w:t>
      </w:r>
      <w:r w:rsidR="00924C33" w:rsidRPr="001E03DC">
        <w:t xml:space="preserve"> (35 per cent)</w:t>
      </w:r>
      <w:r w:rsidR="007267B4" w:rsidRPr="001E03DC">
        <w:t xml:space="preserve">. </w:t>
      </w:r>
    </w:p>
    <w:p w14:paraId="2CE58E72" w14:textId="1692B5FF" w:rsidR="00F13E17" w:rsidRPr="001E03DC" w:rsidRDefault="00F13E17" w:rsidP="00732E64">
      <w:pPr>
        <w:spacing w:line="240" w:lineRule="auto"/>
      </w:pPr>
      <w:r w:rsidRPr="001E03DC">
        <w:lastRenderedPageBreak/>
        <w:t xml:space="preserve">NOPTA </w:t>
      </w:r>
      <w:r w:rsidR="00C2586D" w:rsidRPr="001E03DC">
        <w:t xml:space="preserve">was </w:t>
      </w:r>
      <w:r w:rsidRPr="001E03DC">
        <w:t>viewed favourably on its public accountability, collaboration and consultation.</w:t>
      </w:r>
      <w:r w:rsidR="008963C7" w:rsidRPr="001E03DC">
        <w:t xml:space="preserve">  The survey also noted that NOPTA rated well on its responsiveness to business needs, commitment to continuous improvement and that NOPTA was open and transparent in its dealings.</w:t>
      </w:r>
      <w:r w:rsidR="00C2586D" w:rsidRPr="001E03DC">
        <w:t xml:space="preserve">  </w:t>
      </w:r>
    </w:p>
    <w:p w14:paraId="6F32618A" w14:textId="6EB15640" w:rsidR="00847F40" w:rsidRDefault="00CD4348" w:rsidP="00FE0E8B">
      <w:pPr>
        <w:spacing w:line="240" w:lineRule="auto"/>
        <w:rPr>
          <w:b/>
        </w:rPr>
      </w:pPr>
      <w:r w:rsidRPr="001E03DC">
        <w:t xml:space="preserve">Petroleum titles underpin and enable petroleum exploration and development.  A critical function of NOPTA is </w:t>
      </w:r>
      <w:r w:rsidR="000C0ECC">
        <w:t xml:space="preserve">to </w:t>
      </w:r>
      <w:r w:rsidRPr="001E03DC">
        <w:t>process petroleum title applications efficiently and to provide advice to various stakeholders as appropriate.  The survey noted that satisfaction with NOPTA’s technical expertise and consistency of information provision for petroleum titles applications was particularly high – 88 per c</w:t>
      </w:r>
      <w:r w:rsidR="00C9026A" w:rsidRPr="001E03DC">
        <w:t>ent and 82</w:t>
      </w:r>
      <w:r w:rsidRPr="001E03DC">
        <w:t xml:space="preserve"> per cent of respondents were satisfied</w:t>
      </w:r>
      <w:r w:rsidR="001E03DC" w:rsidRPr="001E03DC">
        <w:rPr>
          <w:rStyle w:val="FootnoteReference"/>
        </w:rPr>
        <w:footnoteReference w:id="19"/>
      </w:r>
      <w:r w:rsidRPr="001E03DC">
        <w:t xml:space="preserve"> with these aspects respectively.  </w:t>
      </w:r>
      <w:r w:rsidR="00C9026A" w:rsidRPr="001E03DC">
        <w:t>In terms of overall effort required from a company</w:t>
      </w:r>
      <w:r w:rsidR="003877B4" w:rsidRPr="001E03DC">
        <w:t xml:space="preserve"> that interacted with NOPT</w:t>
      </w:r>
      <w:r w:rsidR="00C9026A" w:rsidRPr="001E03DC">
        <w:t xml:space="preserve">A on a petroleum title application 70 per cent </w:t>
      </w:r>
      <w:r w:rsidR="003877B4" w:rsidRPr="001E03DC">
        <w:t xml:space="preserve">of respondents were very satisfied and somewhat satisfied, 16 per cent neither satisfied </w:t>
      </w:r>
      <w:r w:rsidR="00C23D81">
        <w:t>or</w:t>
      </w:r>
      <w:r w:rsidR="00C23D81" w:rsidRPr="001E03DC">
        <w:t xml:space="preserve"> </w:t>
      </w:r>
      <w:r w:rsidR="003877B4" w:rsidRPr="001E03DC">
        <w:t xml:space="preserve">dissatisfied and 13 percent somewhat dissatisfied. </w:t>
      </w:r>
    </w:p>
    <w:p w14:paraId="017828A7" w14:textId="77777777" w:rsidR="00941577" w:rsidRDefault="00941577">
      <w:pPr>
        <w:rPr>
          <w:rFonts w:asciiTheme="majorHAnsi" w:eastAsiaTheme="majorEastAsia" w:hAnsiTheme="majorHAnsi" w:cstheme="majorBidi"/>
          <w:b/>
          <w:color w:val="2E74B5" w:themeColor="accent1" w:themeShade="BF"/>
          <w:sz w:val="26"/>
          <w:szCs w:val="26"/>
        </w:rPr>
      </w:pPr>
      <w:r>
        <w:rPr>
          <w:b/>
        </w:rPr>
        <w:br w:type="page"/>
      </w:r>
    </w:p>
    <w:p w14:paraId="22EC1D06" w14:textId="00596B5B" w:rsidR="00EA7FA2" w:rsidRPr="00A37C75" w:rsidRDefault="00142060" w:rsidP="00732E64">
      <w:pPr>
        <w:pStyle w:val="Heading2"/>
        <w:spacing w:line="240" w:lineRule="auto"/>
        <w:rPr>
          <w:b/>
        </w:rPr>
      </w:pPr>
      <w:bookmarkStart w:id="30" w:name="_Toc468884914"/>
      <w:r>
        <w:rPr>
          <w:b/>
        </w:rPr>
        <w:lastRenderedPageBreak/>
        <w:t>KPI</w:t>
      </w:r>
      <w:r w:rsidR="00EA7FA2" w:rsidRPr="00A37C75">
        <w:rPr>
          <w:b/>
        </w:rPr>
        <w:t xml:space="preserve"> 2</w:t>
      </w:r>
      <w:r w:rsidR="00C720F1">
        <w:rPr>
          <w:b/>
        </w:rPr>
        <w:t>:</w:t>
      </w:r>
      <w:r w:rsidR="00935652">
        <w:rPr>
          <w:b/>
        </w:rPr>
        <w:t xml:space="preserve"> </w:t>
      </w:r>
      <w:r w:rsidR="00EA7FA2" w:rsidRPr="00A37C75">
        <w:rPr>
          <w:b/>
        </w:rPr>
        <w:t xml:space="preserve">Communication with </w:t>
      </w:r>
      <w:r w:rsidR="00935652">
        <w:rPr>
          <w:b/>
        </w:rPr>
        <w:t>regulated entities</w:t>
      </w:r>
      <w:r w:rsidR="00EA7FA2" w:rsidRPr="00A37C75">
        <w:rPr>
          <w:b/>
        </w:rPr>
        <w:t xml:space="preserve"> is clear, targeted and effective</w:t>
      </w:r>
      <w:bookmarkEnd w:id="30"/>
    </w:p>
    <w:p w14:paraId="11A2C215" w14:textId="77777777" w:rsidR="00142060" w:rsidRDefault="00142060" w:rsidP="00732E64">
      <w:pPr>
        <w:pStyle w:val="Heading2"/>
        <w:spacing w:after="120" w:line="240" w:lineRule="auto"/>
      </w:pPr>
      <w:bookmarkStart w:id="31" w:name="_Toc468884915"/>
      <w:r>
        <w:t>Summary</w:t>
      </w:r>
      <w:bookmarkEnd w:id="31"/>
    </w:p>
    <w:p w14:paraId="6546799B" w14:textId="695EBE1B" w:rsidR="00933D94" w:rsidRPr="004638A9" w:rsidRDefault="002201FF" w:rsidP="00732E64">
      <w:pPr>
        <w:pStyle w:val="ListParagraph"/>
        <w:numPr>
          <w:ilvl w:val="0"/>
          <w:numId w:val="26"/>
        </w:numPr>
        <w:spacing w:after="120"/>
        <w:ind w:left="714" w:hanging="357"/>
        <w:contextualSpacing w:val="0"/>
        <w:rPr>
          <w:rFonts w:asciiTheme="minorHAnsi" w:hAnsiTheme="minorHAnsi"/>
          <w:color w:val="auto"/>
          <w:sz w:val="22"/>
          <w:szCs w:val="22"/>
        </w:rPr>
      </w:pPr>
      <w:r>
        <w:rPr>
          <w:rFonts w:asciiTheme="minorHAnsi" w:hAnsiTheme="minorHAnsi"/>
          <w:color w:val="auto"/>
          <w:sz w:val="22"/>
          <w:szCs w:val="22"/>
        </w:rPr>
        <w:t xml:space="preserve">Received positive feedback </w:t>
      </w:r>
      <w:r w:rsidR="008B5388">
        <w:rPr>
          <w:rFonts w:asciiTheme="minorHAnsi" w:hAnsiTheme="minorHAnsi"/>
          <w:color w:val="auto"/>
          <w:sz w:val="22"/>
          <w:szCs w:val="22"/>
        </w:rPr>
        <w:t xml:space="preserve">in relation to increased transparency </w:t>
      </w:r>
      <w:r>
        <w:rPr>
          <w:rFonts w:asciiTheme="minorHAnsi" w:hAnsiTheme="minorHAnsi"/>
          <w:color w:val="auto"/>
          <w:sz w:val="22"/>
          <w:szCs w:val="22"/>
        </w:rPr>
        <w:t xml:space="preserve">from </w:t>
      </w:r>
      <w:r w:rsidRPr="004638A9">
        <w:rPr>
          <w:rFonts w:asciiTheme="minorHAnsi" w:hAnsiTheme="minorHAnsi"/>
          <w:color w:val="auto"/>
          <w:sz w:val="22"/>
          <w:szCs w:val="22"/>
        </w:rPr>
        <w:t>stakeholders</w:t>
      </w:r>
      <w:r>
        <w:rPr>
          <w:rFonts w:asciiTheme="minorHAnsi" w:hAnsiTheme="minorHAnsi"/>
          <w:color w:val="auto"/>
          <w:sz w:val="22"/>
          <w:szCs w:val="22"/>
        </w:rPr>
        <w:t xml:space="preserve"> on the </w:t>
      </w:r>
      <w:r w:rsidR="00933D94" w:rsidRPr="004638A9">
        <w:rPr>
          <w:rFonts w:asciiTheme="minorHAnsi" w:hAnsiTheme="minorHAnsi"/>
          <w:color w:val="auto"/>
          <w:sz w:val="22"/>
          <w:szCs w:val="22"/>
        </w:rPr>
        <w:t>introduction of an Annual report of activities for the 2014-15 financial year</w:t>
      </w:r>
      <w:r>
        <w:rPr>
          <w:rFonts w:asciiTheme="minorHAnsi" w:hAnsiTheme="minorHAnsi"/>
          <w:color w:val="auto"/>
          <w:sz w:val="22"/>
          <w:szCs w:val="22"/>
        </w:rPr>
        <w:t>.</w:t>
      </w:r>
      <w:r w:rsidR="00933D94" w:rsidRPr="004638A9">
        <w:rPr>
          <w:rFonts w:asciiTheme="minorHAnsi" w:hAnsiTheme="minorHAnsi"/>
          <w:color w:val="auto"/>
          <w:sz w:val="22"/>
          <w:szCs w:val="22"/>
        </w:rPr>
        <w:t xml:space="preserve">  </w:t>
      </w:r>
    </w:p>
    <w:p w14:paraId="4D372AA2" w14:textId="4F27CDB4" w:rsidR="00933D94" w:rsidRPr="004638A9" w:rsidRDefault="002201FF" w:rsidP="00732E64">
      <w:pPr>
        <w:pStyle w:val="ListParagraph"/>
        <w:numPr>
          <w:ilvl w:val="0"/>
          <w:numId w:val="26"/>
        </w:numPr>
        <w:spacing w:after="120"/>
        <w:ind w:left="714" w:hanging="357"/>
        <w:contextualSpacing w:val="0"/>
        <w:rPr>
          <w:rFonts w:asciiTheme="minorHAnsi" w:hAnsiTheme="minorHAnsi"/>
          <w:color w:val="auto"/>
          <w:sz w:val="22"/>
          <w:szCs w:val="22"/>
        </w:rPr>
      </w:pPr>
      <w:r>
        <w:rPr>
          <w:rFonts w:asciiTheme="minorHAnsi" w:hAnsiTheme="minorHAnsi"/>
          <w:color w:val="auto"/>
          <w:sz w:val="22"/>
          <w:szCs w:val="22"/>
        </w:rPr>
        <w:t xml:space="preserve">Promoted </w:t>
      </w:r>
      <w:r w:rsidR="00873261" w:rsidRPr="004638A9">
        <w:rPr>
          <w:rFonts w:asciiTheme="minorHAnsi" w:hAnsiTheme="minorHAnsi"/>
          <w:color w:val="auto"/>
          <w:sz w:val="22"/>
          <w:szCs w:val="22"/>
        </w:rPr>
        <w:t xml:space="preserve">NOPTA’s monthly performance statistics </w:t>
      </w:r>
      <w:r w:rsidR="00DE1618" w:rsidRPr="004638A9">
        <w:rPr>
          <w:rFonts w:asciiTheme="minorHAnsi" w:hAnsiTheme="minorHAnsi"/>
          <w:color w:val="auto"/>
          <w:sz w:val="22"/>
          <w:szCs w:val="22"/>
        </w:rPr>
        <w:t>or</w:t>
      </w:r>
      <w:r w:rsidR="00873261" w:rsidRPr="004638A9">
        <w:rPr>
          <w:rFonts w:asciiTheme="minorHAnsi" w:hAnsiTheme="minorHAnsi"/>
          <w:color w:val="auto"/>
          <w:sz w:val="22"/>
          <w:szCs w:val="22"/>
        </w:rPr>
        <w:t xml:space="preserve"> ‘dashboard summaries’</w:t>
      </w:r>
      <w:r w:rsidR="00DE1618" w:rsidRPr="004638A9">
        <w:rPr>
          <w:rFonts w:asciiTheme="minorHAnsi" w:hAnsiTheme="minorHAnsi"/>
          <w:color w:val="auto"/>
          <w:sz w:val="22"/>
          <w:szCs w:val="22"/>
        </w:rPr>
        <w:t xml:space="preserve"> </w:t>
      </w:r>
      <w:r>
        <w:rPr>
          <w:rFonts w:asciiTheme="minorHAnsi" w:hAnsiTheme="minorHAnsi"/>
          <w:color w:val="auto"/>
          <w:sz w:val="22"/>
          <w:szCs w:val="22"/>
        </w:rPr>
        <w:t xml:space="preserve">that </w:t>
      </w:r>
      <w:r w:rsidR="00DE1618" w:rsidRPr="004638A9">
        <w:rPr>
          <w:rFonts w:asciiTheme="minorHAnsi" w:hAnsiTheme="minorHAnsi"/>
          <w:color w:val="auto"/>
          <w:sz w:val="22"/>
          <w:szCs w:val="22"/>
        </w:rPr>
        <w:t>provide graphical representations</w:t>
      </w:r>
      <w:r w:rsidR="007903BF">
        <w:rPr>
          <w:rFonts w:asciiTheme="minorHAnsi" w:hAnsiTheme="minorHAnsi"/>
          <w:color w:val="auto"/>
          <w:sz w:val="22"/>
          <w:szCs w:val="22"/>
        </w:rPr>
        <w:t xml:space="preserve"> of the </w:t>
      </w:r>
      <w:r w:rsidR="00334147">
        <w:rPr>
          <w:rFonts w:asciiTheme="minorHAnsi" w:hAnsiTheme="minorHAnsi"/>
          <w:color w:val="auto"/>
          <w:sz w:val="22"/>
          <w:szCs w:val="22"/>
        </w:rPr>
        <w:t>amount of applications and data received and processed</w:t>
      </w:r>
      <w:r w:rsidR="005853E4">
        <w:rPr>
          <w:rFonts w:asciiTheme="minorHAnsi" w:hAnsiTheme="minorHAnsi"/>
          <w:color w:val="auto"/>
          <w:sz w:val="22"/>
          <w:szCs w:val="22"/>
        </w:rPr>
        <w:t>.</w:t>
      </w:r>
    </w:p>
    <w:p w14:paraId="6D2CB319" w14:textId="5ED41575" w:rsidR="00DE1618" w:rsidRPr="004638A9" w:rsidRDefault="005853E4" w:rsidP="00732E64">
      <w:pPr>
        <w:pStyle w:val="ListParagraph"/>
        <w:numPr>
          <w:ilvl w:val="0"/>
          <w:numId w:val="26"/>
        </w:numPr>
        <w:rPr>
          <w:rFonts w:asciiTheme="minorHAnsi" w:hAnsiTheme="minorHAnsi"/>
          <w:color w:val="auto"/>
          <w:sz w:val="22"/>
          <w:szCs w:val="22"/>
        </w:rPr>
      </w:pPr>
      <w:r>
        <w:rPr>
          <w:rFonts w:asciiTheme="minorHAnsi" w:hAnsiTheme="minorHAnsi"/>
          <w:color w:val="auto"/>
          <w:sz w:val="22"/>
          <w:szCs w:val="22"/>
        </w:rPr>
        <w:t xml:space="preserve">Ensured compliance of all </w:t>
      </w:r>
      <w:r w:rsidR="00DE1618" w:rsidRPr="004638A9">
        <w:rPr>
          <w:rFonts w:asciiTheme="minorHAnsi" w:hAnsiTheme="minorHAnsi"/>
          <w:color w:val="auto"/>
          <w:sz w:val="22"/>
          <w:szCs w:val="22"/>
        </w:rPr>
        <w:t>NOPTA public documents with Australian government web accessibility guidelines</w:t>
      </w:r>
      <w:r>
        <w:rPr>
          <w:rFonts w:asciiTheme="minorHAnsi" w:hAnsiTheme="minorHAnsi"/>
          <w:color w:val="auto"/>
          <w:sz w:val="22"/>
          <w:szCs w:val="22"/>
        </w:rPr>
        <w:t>.</w:t>
      </w:r>
    </w:p>
    <w:p w14:paraId="0D10EB86" w14:textId="77777777" w:rsidR="00933D94" w:rsidRDefault="00933D94" w:rsidP="00732E64">
      <w:pPr>
        <w:pStyle w:val="ListParagraph"/>
        <w:ind w:left="720"/>
      </w:pPr>
    </w:p>
    <w:p w14:paraId="08805655" w14:textId="77777777" w:rsidR="00142060" w:rsidRDefault="00142060" w:rsidP="00732E64">
      <w:pPr>
        <w:pStyle w:val="Heading2"/>
        <w:spacing w:after="120" w:line="240" w:lineRule="auto"/>
      </w:pPr>
      <w:bookmarkStart w:id="32" w:name="_Toc468884916"/>
      <w:r>
        <w:t>KPI Expectations</w:t>
      </w:r>
      <w:bookmarkEnd w:id="32"/>
    </w:p>
    <w:p w14:paraId="3E7CA729" w14:textId="1AFF79EA" w:rsidR="00142060" w:rsidRPr="00FF2FAE" w:rsidRDefault="00B55C7F" w:rsidP="00FE0E8B">
      <w:pPr>
        <w:spacing w:line="240" w:lineRule="auto"/>
      </w:pPr>
      <w:r>
        <w:t>To communicate</w:t>
      </w:r>
      <w:r w:rsidR="00A21C07">
        <w:t xml:space="preserve"> effectively</w:t>
      </w:r>
      <w:r>
        <w:t xml:space="preserve"> with regulated entities </w:t>
      </w:r>
      <w:r w:rsidR="00A21C07">
        <w:t xml:space="preserve">so </w:t>
      </w:r>
      <w:r>
        <w:t xml:space="preserve">they </w:t>
      </w:r>
      <w:r w:rsidR="00A21C07">
        <w:t xml:space="preserve">understand </w:t>
      </w:r>
      <w:r>
        <w:t>what they need to do</w:t>
      </w:r>
      <w:r w:rsidR="00A21C07">
        <w:t xml:space="preserve">. </w:t>
      </w:r>
      <w:r w:rsidR="00DD2829">
        <w:t xml:space="preserve">The regulator </w:t>
      </w:r>
      <w:r w:rsidR="00A21C07">
        <w:t xml:space="preserve">provides clear and consistent information </w:t>
      </w:r>
      <w:r w:rsidR="00FD21D2">
        <w:t>through</w:t>
      </w:r>
      <w:r w:rsidR="00A21C07">
        <w:t xml:space="preserve"> </w:t>
      </w:r>
      <w:r w:rsidR="00FD21D2">
        <w:t xml:space="preserve">various mediums including </w:t>
      </w:r>
      <w:r w:rsidR="00996978">
        <w:t xml:space="preserve">guidelines </w:t>
      </w:r>
      <w:r w:rsidR="000B0F83">
        <w:t>that</w:t>
      </w:r>
      <w:r w:rsidR="00FD21D2">
        <w:t xml:space="preserve"> explains why </w:t>
      </w:r>
      <w:r w:rsidR="000B0F83">
        <w:t>the</w:t>
      </w:r>
      <w:r w:rsidR="00FD21D2">
        <w:t xml:space="preserve"> information is required and how it is used.  Effective communication </w:t>
      </w:r>
      <w:r w:rsidR="00996978">
        <w:t>support</w:t>
      </w:r>
      <w:r w:rsidR="0014124A">
        <w:t>s compliance,</w:t>
      </w:r>
      <w:r w:rsidR="00996978">
        <w:t xml:space="preserve"> regulatory feedback and continuous improvement.</w:t>
      </w:r>
      <w:r w:rsidR="0014124A">
        <w:t xml:space="preserve">  </w:t>
      </w:r>
    </w:p>
    <w:p w14:paraId="4F25B725" w14:textId="7C384D3E" w:rsidR="00142060" w:rsidRDefault="00C31610" w:rsidP="00732E64">
      <w:pPr>
        <w:pStyle w:val="Heading2"/>
        <w:spacing w:after="120" w:line="240" w:lineRule="auto"/>
      </w:pPr>
      <w:bookmarkStart w:id="33" w:name="_Toc468884917"/>
      <w:r>
        <w:t>NOPTA’s Approach</w:t>
      </w:r>
      <w:bookmarkEnd w:id="33"/>
      <w:r w:rsidR="00142060" w:rsidRPr="00686DDC">
        <w:t xml:space="preserve"> </w:t>
      </w:r>
    </w:p>
    <w:p w14:paraId="1D6FCE35" w14:textId="2ABC9406" w:rsidR="00933D94" w:rsidRDefault="000B0F83" w:rsidP="00FE0E8B">
      <w:pPr>
        <w:spacing w:line="240" w:lineRule="auto"/>
      </w:pPr>
      <w:r>
        <w:t xml:space="preserve">NOPTA conducted its second stakeholder survey with strong results.  The development of new or updated forms, guidelines and templates </w:t>
      </w:r>
      <w:r w:rsidR="008723A0">
        <w:t xml:space="preserve">included consultation with government, industry and community stakeholders as appropriate.  NOPTA provided monthly public performance summaries </w:t>
      </w:r>
      <w:r w:rsidR="00EB04B0" w:rsidRPr="0008769C">
        <w:t xml:space="preserve">on its website </w:t>
      </w:r>
      <w:r w:rsidR="008723A0" w:rsidRPr="0008769C">
        <w:t>and engaged with</w:t>
      </w:r>
      <w:r w:rsidR="00EB04B0" w:rsidRPr="0008769C">
        <w:t xml:space="preserve"> industry and industry bodies on a regular basis.</w:t>
      </w:r>
    </w:p>
    <w:p w14:paraId="5DD5BCEF" w14:textId="77777777" w:rsidR="007F38C5" w:rsidRDefault="007F38C5" w:rsidP="007F38C5">
      <w:pPr>
        <w:spacing w:line="240" w:lineRule="auto"/>
      </w:pPr>
      <w:r w:rsidRPr="00A37C75">
        <w:t xml:space="preserve">NOPTA ensures that stakeholders are consulted </w:t>
      </w:r>
      <w:r>
        <w:t>on the development of reporting templates and on any changes to NOPTA’s cost recovery funding basis. NOPTA assists ORB with consultation on guidelines and legislation as required</w:t>
      </w:r>
      <w:r w:rsidRPr="00A37C75">
        <w:t>.</w:t>
      </w:r>
      <w:r>
        <w:t xml:space="preserve"> Regular engagement with policy agencies, peak industry representatives and titleholders ensures NOPTA is well informed and can communicate regulatory issues within NOPTA’s legislative and policy framework.</w:t>
      </w:r>
    </w:p>
    <w:p w14:paraId="6BBE0306" w14:textId="77777777" w:rsidR="007F38C5" w:rsidRDefault="007F38C5" w:rsidP="007F38C5">
      <w:pPr>
        <w:spacing w:line="240" w:lineRule="auto"/>
      </w:pPr>
      <w:r>
        <w:t xml:space="preserve">NOPTA uses a variety of mediums to collaborate, communicate, consult and engage with stakeholders.  This includes attending industry conferences (APPEA), communicating through the NOPTA website and the Australian Petroleum News publication maintained by ORB.  Face-to-face meetings with titleholders provides opportunities to raise any issues, clarify ambiguities and to address non-compliance.  Regular contact helps to build a shared understanding of titleholder issues and to discuss project development timeframes, work commitments and future title applications. </w:t>
      </w:r>
    </w:p>
    <w:p w14:paraId="0E3FB276" w14:textId="6128E9CD" w:rsidR="00142060" w:rsidRDefault="00142060" w:rsidP="00732E64">
      <w:pPr>
        <w:pStyle w:val="Heading2"/>
        <w:spacing w:after="120" w:line="240" w:lineRule="auto"/>
      </w:pPr>
      <w:bookmarkStart w:id="34" w:name="_Toc468884918"/>
      <w:r>
        <w:t>Results</w:t>
      </w:r>
      <w:bookmarkEnd w:id="34"/>
    </w:p>
    <w:p w14:paraId="686432B2" w14:textId="77777777" w:rsidR="00CC2C00" w:rsidRDefault="00DC48C0" w:rsidP="00C267D5">
      <w:pPr>
        <w:pStyle w:val="Heading3"/>
      </w:pPr>
      <w:r w:rsidRPr="00FD1BF6">
        <w:t>Stakeholder consultations</w:t>
      </w:r>
      <w:r>
        <w:t xml:space="preserve"> </w:t>
      </w:r>
    </w:p>
    <w:p w14:paraId="76ACDFC5" w14:textId="77777777" w:rsidR="00DC48C0" w:rsidRPr="00A37C75" w:rsidRDefault="00DC48C0" w:rsidP="00732E64">
      <w:pPr>
        <w:spacing w:line="240" w:lineRule="auto"/>
      </w:pPr>
      <w:r w:rsidRPr="00A37C75">
        <w:t>During the reporting period NOPTA engaged in a numbe</w:t>
      </w:r>
      <w:r>
        <w:t xml:space="preserve">r of stakeholder consultations, including: </w:t>
      </w:r>
    </w:p>
    <w:p w14:paraId="61117B94" w14:textId="142DA197" w:rsidR="00DC48C0" w:rsidRPr="00A82B7E" w:rsidRDefault="00DC48C0" w:rsidP="00FE0E8B">
      <w:pPr>
        <w:pStyle w:val="ListParagraph"/>
        <w:numPr>
          <w:ilvl w:val="0"/>
          <w:numId w:val="5"/>
        </w:numPr>
        <w:spacing w:before="0" w:after="0"/>
        <w:ind w:left="284" w:hanging="284"/>
        <w:contextualSpacing w:val="0"/>
        <w:rPr>
          <w:rFonts w:asciiTheme="minorHAnsi" w:hAnsiTheme="minorHAnsi"/>
          <w:color w:val="auto"/>
          <w:sz w:val="22"/>
          <w:szCs w:val="22"/>
        </w:rPr>
      </w:pPr>
      <w:r w:rsidRPr="00A82B7E">
        <w:rPr>
          <w:rFonts w:asciiTheme="minorHAnsi" w:hAnsiTheme="minorHAnsi"/>
          <w:color w:val="auto"/>
          <w:sz w:val="22"/>
          <w:szCs w:val="22"/>
        </w:rPr>
        <w:t>The 2016 NOPTA stakeholder survey.</w:t>
      </w:r>
    </w:p>
    <w:p w14:paraId="76BED612" w14:textId="2446D4A1" w:rsidR="00DC48C0" w:rsidRPr="00A82B7E" w:rsidRDefault="00CC2C00" w:rsidP="00FE0E8B">
      <w:pPr>
        <w:pStyle w:val="ListParagraph"/>
        <w:numPr>
          <w:ilvl w:val="0"/>
          <w:numId w:val="5"/>
        </w:numPr>
        <w:spacing w:before="0" w:after="0"/>
        <w:ind w:left="284" w:hanging="284"/>
        <w:contextualSpacing w:val="0"/>
        <w:rPr>
          <w:rFonts w:asciiTheme="minorHAnsi" w:hAnsiTheme="minorHAnsi"/>
          <w:color w:val="auto"/>
          <w:sz w:val="22"/>
          <w:szCs w:val="22"/>
        </w:rPr>
      </w:pPr>
      <w:r>
        <w:rPr>
          <w:rFonts w:asciiTheme="minorHAnsi" w:hAnsiTheme="minorHAnsi"/>
          <w:color w:val="auto"/>
          <w:sz w:val="22"/>
          <w:szCs w:val="22"/>
        </w:rPr>
        <w:t>C</w:t>
      </w:r>
      <w:r w:rsidR="00DC48C0" w:rsidRPr="00A82B7E">
        <w:rPr>
          <w:rFonts w:asciiTheme="minorHAnsi" w:hAnsiTheme="minorHAnsi"/>
          <w:color w:val="auto"/>
          <w:sz w:val="22"/>
          <w:szCs w:val="22"/>
        </w:rPr>
        <w:t xml:space="preserve">onsultation on the review of NOPTA’s cost recovery arrangements from December 2015 </w:t>
      </w:r>
      <w:r w:rsidR="00097663" w:rsidRPr="00A82B7E">
        <w:rPr>
          <w:rFonts w:asciiTheme="minorHAnsi" w:hAnsiTheme="minorHAnsi"/>
          <w:color w:val="auto"/>
          <w:sz w:val="22"/>
          <w:szCs w:val="22"/>
        </w:rPr>
        <w:t>to February</w:t>
      </w:r>
      <w:r w:rsidR="00DC48C0" w:rsidRPr="00A82B7E">
        <w:rPr>
          <w:rFonts w:asciiTheme="minorHAnsi" w:hAnsiTheme="minorHAnsi"/>
          <w:color w:val="auto"/>
          <w:sz w:val="22"/>
          <w:szCs w:val="22"/>
        </w:rPr>
        <w:t xml:space="preserve"> 2016.  </w:t>
      </w:r>
    </w:p>
    <w:p w14:paraId="122773AB" w14:textId="21A5E03C" w:rsidR="00DC48C0" w:rsidRDefault="00DC48C0" w:rsidP="00FE0E8B">
      <w:pPr>
        <w:pStyle w:val="ListParagraph"/>
        <w:numPr>
          <w:ilvl w:val="0"/>
          <w:numId w:val="5"/>
        </w:numPr>
        <w:spacing w:before="0" w:after="0"/>
        <w:ind w:left="284" w:hanging="284"/>
        <w:contextualSpacing w:val="0"/>
        <w:rPr>
          <w:rFonts w:asciiTheme="minorHAnsi" w:hAnsiTheme="minorHAnsi"/>
          <w:color w:val="auto"/>
          <w:sz w:val="22"/>
          <w:szCs w:val="22"/>
        </w:rPr>
      </w:pPr>
      <w:r w:rsidRPr="00A82B7E">
        <w:rPr>
          <w:rFonts w:asciiTheme="minorHAnsi" w:hAnsiTheme="minorHAnsi"/>
          <w:color w:val="auto"/>
          <w:sz w:val="22"/>
          <w:szCs w:val="22"/>
        </w:rPr>
        <w:t xml:space="preserve">Consultation </w:t>
      </w:r>
      <w:r w:rsidR="002C330B" w:rsidRPr="00A82B7E">
        <w:rPr>
          <w:rFonts w:asciiTheme="minorHAnsi" w:hAnsiTheme="minorHAnsi"/>
          <w:color w:val="auto"/>
          <w:sz w:val="22"/>
          <w:szCs w:val="22"/>
        </w:rPr>
        <w:t>on introducing model templates for ATARs</w:t>
      </w:r>
      <w:r w:rsidR="002C330B">
        <w:rPr>
          <w:rFonts w:asciiTheme="minorHAnsi" w:hAnsiTheme="minorHAnsi"/>
          <w:color w:val="auto"/>
          <w:sz w:val="22"/>
          <w:szCs w:val="22"/>
        </w:rPr>
        <w:t xml:space="preserve"> </w:t>
      </w:r>
      <w:r w:rsidR="002C617C">
        <w:rPr>
          <w:rFonts w:asciiTheme="minorHAnsi" w:hAnsiTheme="minorHAnsi"/>
          <w:color w:val="auto"/>
          <w:sz w:val="22"/>
          <w:szCs w:val="22"/>
        </w:rPr>
        <w:t>in September</w:t>
      </w:r>
      <w:r w:rsidRPr="00A82B7E">
        <w:rPr>
          <w:rFonts w:asciiTheme="minorHAnsi" w:hAnsiTheme="minorHAnsi"/>
          <w:color w:val="auto"/>
          <w:sz w:val="22"/>
          <w:szCs w:val="22"/>
        </w:rPr>
        <w:t xml:space="preserve"> 2015</w:t>
      </w:r>
      <w:r w:rsidR="007903BF">
        <w:rPr>
          <w:rFonts w:asciiTheme="minorHAnsi" w:hAnsiTheme="minorHAnsi"/>
          <w:color w:val="auto"/>
          <w:sz w:val="22"/>
          <w:szCs w:val="22"/>
        </w:rPr>
        <w:t>.</w:t>
      </w:r>
      <w:r w:rsidRPr="00A82B7E">
        <w:rPr>
          <w:rFonts w:asciiTheme="minorHAnsi" w:hAnsiTheme="minorHAnsi"/>
          <w:color w:val="auto"/>
          <w:sz w:val="22"/>
          <w:szCs w:val="22"/>
        </w:rPr>
        <w:t xml:space="preserve"> </w:t>
      </w:r>
    </w:p>
    <w:p w14:paraId="27CFEF90" w14:textId="6E6CE415" w:rsidR="00903905" w:rsidRDefault="00903905" w:rsidP="00FE0E8B">
      <w:pPr>
        <w:pStyle w:val="ListParagraph"/>
        <w:numPr>
          <w:ilvl w:val="0"/>
          <w:numId w:val="5"/>
        </w:numPr>
        <w:spacing w:before="0" w:after="0"/>
        <w:ind w:left="284" w:hanging="284"/>
        <w:contextualSpacing w:val="0"/>
        <w:rPr>
          <w:rFonts w:asciiTheme="minorHAnsi" w:hAnsiTheme="minorHAnsi"/>
          <w:color w:val="auto"/>
          <w:sz w:val="22"/>
          <w:szCs w:val="22"/>
        </w:rPr>
      </w:pPr>
      <w:r>
        <w:rPr>
          <w:rFonts w:asciiTheme="minorHAnsi" w:hAnsiTheme="minorHAnsi"/>
          <w:color w:val="auto"/>
          <w:sz w:val="22"/>
          <w:szCs w:val="22"/>
        </w:rPr>
        <w:t>Participated in APPEA’s annual conference</w:t>
      </w:r>
      <w:r w:rsidR="002C330B">
        <w:rPr>
          <w:rFonts w:asciiTheme="minorHAnsi" w:hAnsiTheme="minorHAnsi"/>
          <w:color w:val="auto"/>
          <w:sz w:val="22"/>
          <w:szCs w:val="22"/>
        </w:rPr>
        <w:t>.</w:t>
      </w:r>
    </w:p>
    <w:p w14:paraId="6CA85BCD" w14:textId="3BBB6410" w:rsidR="00360167" w:rsidRPr="00FE0E8B" w:rsidRDefault="00360167" w:rsidP="00FE0E8B">
      <w:pPr>
        <w:pStyle w:val="ListParagraph"/>
        <w:numPr>
          <w:ilvl w:val="0"/>
          <w:numId w:val="5"/>
        </w:numPr>
        <w:spacing w:before="0" w:after="0"/>
        <w:ind w:left="284" w:hanging="284"/>
        <w:contextualSpacing w:val="0"/>
        <w:rPr>
          <w:rFonts w:asciiTheme="minorHAnsi" w:hAnsiTheme="minorHAnsi"/>
          <w:color w:val="auto"/>
          <w:sz w:val="22"/>
          <w:szCs w:val="22"/>
        </w:rPr>
      </w:pPr>
      <w:r w:rsidRPr="002C330B">
        <w:rPr>
          <w:rFonts w:asciiTheme="minorHAnsi" w:hAnsiTheme="minorHAnsi"/>
          <w:color w:val="auto"/>
          <w:sz w:val="22"/>
          <w:szCs w:val="22"/>
        </w:rPr>
        <w:t>Engag</w:t>
      </w:r>
      <w:r w:rsidR="00936A06">
        <w:rPr>
          <w:rFonts w:asciiTheme="minorHAnsi" w:hAnsiTheme="minorHAnsi"/>
          <w:color w:val="auto"/>
          <w:sz w:val="22"/>
          <w:szCs w:val="22"/>
        </w:rPr>
        <w:t>ed</w:t>
      </w:r>
      <w:r w:rsidRPr="002C330B">
        <w:rPr>
          <w:rFonts w:asciiTheme="minorHAnsi" w:hAnsiTheme="minorHAnsi"/>
          <w:color w:val="auto"/>
          <w:sz w:val="22"/>
          <w:szCs w:val="22"/>
        </w:rPr>
        <w:t xml:space="preserve"> with the Resources Data Initiative</w:t>
      </w:r>
      <w:r w:rsidR="00A6682A" w:rsidRPr="002C330B">
        <w:rPr>
          <w:rStyle w:val="FootnoteReference"/>
          <w:rFonts w:asciiTheme="minorHAnsi" w:hAnsiTheme="minorHAnsi"/>
          <w:color w:val="auto"/>
          <w:sz w:val="22"/>
          <w:szCs w:val="22"/>
        </w:rPr>
        <w:footnoteReference w:id="20"/>
      </w:r>
      <w:r w:rsidRPr="002C330B">
        <w:rPr>
          <w:rFonts w:asciiTheme="minorHAnsi" w:hAnsiTheme="minorHAnsi"/>
          <w:color w:val="auto"/>
          <w:sz w:val="22"/>
          <w:szCs w:val="22"/>
        </w:rPr>
        <w:t xml:space="preserve"> Steering Committee</w:t>
      </w:r>
      <w:r w:rsidR="00A6682A" w:rsidRPr="002C330B">
        <w:rPr>
          <w:rFonts w:asciiTheme="minorHAnsi" w:hAnsiTheme="minorHAnsi"/>
          <w:color w:val="auto"/>
          <w:sz w:val="22"/>
          <w:szCs w:val="22"/>
        </w:rPr>
        <w:t xml:space="preserve"> to improve the discoverability and availability of environmental, water, mining and oil and gas data. </w:t>
      </w:r>
    </w:p>
    <w:p w14:paraId="4983EFC6" w14:textId="1C33E35E" w:rsidR="00CC2C00" w:rsidRDefault="00C9604B" w:rsidP="00FE0E8B">
      <w:pPr>
        <w:pStyle w:val="ListParagraph"/>
        <w:numPr>
          <w:ilvl w:val="0"/>
          <w:numId w:val="5"/>
        </w:numPr>
        <w:spacing w:before="0" w:after="0"/>
        <w:ind w:left="284" w:hanging="284"/>
        <w:contextualSpacing w:val="0"/>
        <w:rPr>
          <w:rFonts w:asciiTheme="minorHAnsi" w:hAnsiTheme="minorHAnsi"/>
          <w:color w:val="auto"/>
          <w:sz w:val="22"/>
          <w:szCs w:val="22"/>
        </w:rPr>
      </w:pPr>
      <w:r w:rsidRPr="00FE0E8B">
        <w:rPr>
          <w:rFonts w:asciiTheme="minorHAnsi" w:hAnsiTheme="minorHAnsi"/>
          <w:color w:val="auto"/>
          <w:sz w:val="22"/>
          <w:szCs w:val="22"/>
        </w:rPr>
        <w:t>Present</w:t>
      </w:r>
      <w:r w:rsidR="00936A06">
        <w:rPr>
          <w:rFonts w:asciiTheme="minorHAnsi" w:hAnsiTheme="minorHAnsi"/>
          <w:color w:val="auto"/>
          <w:sz w:val="22"/>
          <w:szCs w:val="22"/>
        </w:rPr>
        <w:t>ed</w:t>
      </w:r>
      <w:r w:rsidRPr="00FE0E8B">
        <w:rPr>
          <w:rFonts w:asciiTheme="minorHAnsi" w:hAnsiTheme="minorHAnsi"/>
          <w:color w:val="auto"/>
          <w:sz w:val="22"/>
          <w:szCs w:val="22"/>
        </w:rPr>
        <w:t xml:space="preserve"> to the </w:t>
      </w:r>
      <w:r w:rsidR="00360167" w:rsidRPr="00FE0E8B">
        <w:rPr>
          <w:rFonts w:asciiTheme="minorHAnsi" w:hAnsiTheme="minorHAnsi"/>
          <w:color w:val="auto"/>
          <w:sz w:val="22"/>
          <w:szCs w:val="22"/>
        </w:rPr>
        <w:t xml:space="preserve">2015 </w:t>
      </w:r>
      <w:r w:rsidRPr="00FE0E8B">
        <w:rPr>
          <w:rFonts w:asciiTheme="minorHAnsi" w:hAnsiTheme="minorHAnsi"/>
          <w:color w:val="auto"/>
          <w:sz w:val="22"/>
          <w:szCs w:val="22"/>
        </w:rPr>
        <w:t>PPDM</w:t>
      </w:r>
      <w:r w:rsidR="00360167" w:rsidRPr="00FE0E8B">
        <w:rPr>
          <w:rFonts w:asciiTheme="minorHAnsi" w:hAnsiTheme="minorHAnsi"/>
          <w:color w:val="auto"/>
          <w:sz w:val="22"/>
          <w:szCs w:val="22"/>
        </w:rPr>
        <w:t xml:space="preserve"> symposium and hosting the 2016 PPDM 1st quarter luncheon</w:t>
      </w:r>
      <w:r>
        <w:rPr>
          <w:rFonts w:asciiTheme="minorHAnsi" w:hAnsiTheme="minorHAnsi"/>
          <w:color w:val="auto"/>
          <w:sz w:val="22"/>
          <w:szCs w:val="22"/>
        </w:rPr>
        <w:t>.</w:t>
      </w:r>
    </w:p>
    <w:p w14:paraId="43A95594" w14:textId="75B30947" w:rsidR="00EA4503" w:rsidRDefault="00CC2C00" w:rsidP="00FE0E8B">
      <w:pPr>
        <w:pStyle w:val="ListParagraph"/>
        <w:numPr>
          <w:ilvl w:val="0"/>
          <w:numId w:val="37"/>
        </w:numPr>
        <w:spacing w:before="0" w:after="240"/>
        <w:ind w:left="284" w:hanging="284"/>
        <w:contextualSpacing w:val="0"/>
        <w:rPr>
          <w:rFonts w:asciiTheme="minorHAnsi" w:hAnsiTheme="minorHAnsi"/>
          <w:color w:val="auto"/>
          <w:sz w:val="22"/>
          <w:szCs w:val="22"/>
        </w:rPr>
      </w:pPr>
      <w:r w:rsidRPr="00FE0E8B">
        <w:rPr>
          <w:rFonts w:asciiTheme="minorHAnsi" w:hAnsiTheme="minorHAnsi"/>
          <w:color w:val="auto"/>
          <w:sz w:val="22"/>
          <w:szCs w:val="22"/>
        </w:rPr>
        <w:lastRenderedPageBreak/>
        <w:t>Participated in the National Energy and Resources Australia Oil and Gas Future Resources Workshop in April 2016</w:t>
      </w:r>
      <w:r w:rsidR="002C617C">
        <w:rPr>
          <w:rFonts w:asciiTheme="minorHAnsi" w:hAnsiTheme="minorHAnsi"/>
          <w:color w:val="auto"/>
          <w:sz w:val="22"/>
          <w:szCs w:val="22"/>
        </w:rPr>
        <w:t>.</w:t>
      </w:r>
      <w:r w:rsidRPr="00FE0E8B">
        <w:rPr>
          <w:rFonts w:asciiTheme="minorHAnsi" w:hAnsiTheme="minorHAnsi"/>
          <w:color w:val="auto"/>
          <w:sz w:val="22"/>
          <w:szCs w:val="22"/>
        </w:rPr>
        <w:t xml:space="preserve"> </w:t>
      </w:r>
    </w:p>
    <w:p w14:paraId="62F1244D" w14:textId="3B6087AC" w:rsidR="002C531E" w:rsidRPr="002C531E" w:rsidRDefault="002C531E" w:rsidP="002C531E">
      <w:pPr>
        <w:spacing w:after="240"/>
      </w:pPr>
      <w:r>
        <w:t>Participating in stakeholder consultation allows NOPTA to hear feedback from industry stakeholders which can be integrated into NOPTA’s processes.</w:t>
      </w:r>
    </w:p>
    <w:p w14:paraId="6F8EDBBC" w14:textId="6E07B8E5" w:rsidR="008723A0" w:rsidRPr="00DC48C0" w:rsidRDefault="00DC48C0" w:rsidP="00C267D5">
      <w:pPr>
        <w:pStyle w:val="Heading3"/>
      </w:pPr>
      <w:r w:rsidRPr="00DC48C0">
        <w:t>NOPTA website</w:t>
      </w:r>
    </w:p>
    <w:p w14:paraId="2DC723CD" w14:textId="77777777" w:rsidR="00A83DC8" w:rsidRDefault="00DC48C0" w:rsidP="00732E64">
      <w:pPr>
        <w:spacing w:line="240" w:lineRule="auto"/>
      </w:pPr>
      <w:r>
        <w:t>The NOPTA website provides information and resources for titleholders such as application forms, data submission requirements</w:t>
      </w:r>
      <w:r w:rsidR="002C617C">
        <w:t xml:space="preserve"> and</w:t>
      </w:r>
      <w:r w:rsidR="00903905">
        <w:t xml:space="preserve"> reporting </w:t>
      </w:r>
      <w:r>
        <w:t>templates</w:t>
      </w:r>
      <w:r w:rsidR="008D66C6">
        <w:t>. Users can also access g</w:t>
      </w:r>
      <w:r>
        <w:t xml:space="preserve">uidelines, fact sheets, spatial data, performance statistics, annual report of activities, financial statements and links to relevant legislation, Joint Authorities and government agencies. </w:t>
      </w:r>
    </w:p>
    <w:p w14:paraId="3FAA9048" w14:textId="1D380C53" w:rsidR="00A83DC8" w:rsidRDefault="00DF02DC" w:rsidP="00941577">
      <w:pPr>
        <w:spacing w:line="240" w:lineRule="auto"/>
      </w:pPr>
      <w:r>
        <w:t xml:space="preserve">A register of all well and survey activities is available on the website.  Newly released public data and spatial data for petroleum titles and wells drilled since 2012 is also available. </w:t>
      </w:r>
      <w:r w:rsidR="00A83DC8">
        <w:t xml:space="preserve">The industry portal of NEATS is a password protected titleholder-only </w:t>
      </w:r>
      <w:r w:rsidR="00E04F92">
        <w:t>area that enables:</w:t>
      </w:r>
      <w:r w:rsidR="00A83DC8">
        <w:t xml:space="preserve"> </w:t>
      </w:r>
    </w:p>
    <w:p w14:paraId="08E05CC2" w14:textId="77777777" w:rsidR="001D2EBE" w:rsidRPr="00A83DC8" w:rsidRDefault="001D2EBE" w:rsidP="001D2EBE">
      <w:pPr>
        <w:numPr>
          <w:ilvl w:val="0"/>
          <w:numId w:val="41"/>
        </w:numPr>
        <w:spacing w:after="120" w:line="240" w:lineRule="auto"/>
        <w:ind w:left="714" w:hanging="357"/>
        <w:rPr>
          <w:lang w:val="en"/>
        </w:rPr>
      </w:pPr>
      <w:r w:rsidRPr="00A83DC8">
        <w:rPr>
          <w:lang w:val="en"/>
        </w:rPr>
        <w:t>online lodgment of applications</w:t>
      </w:r>
    </w:p>
    <w:p w14:paraId="164B0C4A" w14:textId="77777777" w:rsidR="001D2EBE" w:rsidRPr="00A83DC8" w:rsidRDefault="001D2EBE" w:rsidP="001D2EBE">
      <w:pPr>
        <w:numPr>
          <w:ilvl w:val="0"/>
          <w:numId w:val="41"/>
        </w:numPr>
        <w:spacing w:after="120" w:line="240" w:lineRule="auto"/>
        <w:ind w:left="714" w:hanging="357"/>
        <w:rPr>
          <w:lang w:val="en"/>
        </w:rPr>
      </w:pPr>
      <w:r w:rsidRPr="00A83DC8">
        <w:rPr>
          <w:lang w:val="en"/>
        </w:rPr>
        <w:t>online fee payment</w:t>
      </w:r>
      <w:r>
        <w:rPr>
          <w:lang w:val="en"/>
        </w:rPr>
        <w:t>s</w:t>
      </w:r>
      <w:r w:rsidRPr="00A83DC8">
        <w:rPr>
          <w:lang w:val="en"/>
        </w:rPr>
        <w:t xml:space="preserve"> </w:t>
      </w:r>
    </w:p>
    <w:p w14:paraId="31BF7E85" w14:textId="49F3530F" w:rsidR="00A83DC8" w:rsidRPr="00A83DC8" w:rsidRDefault="00E746F4" w:rsidP="00941577">
      <w:pPr>
        <w:numPr>
          <w:ilvl w:val="0"/>
          <w:numId w:val="41"/>
        </w:numPr>
        <w:spacing w:after="120" w:line="240" w:lineRule="auto"/>
        <w:ind w:left="714" w:hanging="357"/>
        <w:rPr>
          <w:lang w:val="en"/>
        </w:rPr>
      </w:pPr>
      <w:r>
        <w:rPr>
          <w:lang w:val="en"/>
        </w:rPr>
        <w:t xml:space="preserve">searching and tracking applications </w:t>
      </w:r>
      <w:r w:rsidR="00A83DC8" w:rsidRPr="00A83DC8">
        <w:rPr>
          <w:lang w:val="en"/>
        </w:rPr>
        <w:t xml:space="preserve"> </w:t>
      </w:r>
    </w:p>
    <w:p w14:paraId="436FB52E" w14:textId="16389323" w:rsidR="00A83DC8" w:rsidRPr="00A83DC8" w:rsidRDefault="003A0E6C" w:rsidP="00941577">
      <w:pPr>
        <w:numPr>
          <w:ilvl w:val="0"/>
          <w:numId w:val="41"/>
        </w:numPr>
        <w:spacing w:after="120" w:line="240" w:lineRule="auto"/>
        <w:ind w:left="714" w:hanging="357"/>
        <w:rPr>
          <w:lang w:val="en"/>
        </w:rPr>
      </w:pPr>
      <w:r>
        <w:rPr>
          <w:lang w:val="en"/>
        </w:rPr>
        <w:t>management of</w:t>
      </w:r>
      <w:r w:rsidR="00A83DC8" w:rsidRPr="00A83DC8">
        <w:rPr>
          <w:lang w:val="en"/>
        </w:rPr>
        <w:t xml:space="preserve"> task lists</w:t>
      </w:r>
      <w:r>
        <w:rPr>
          <w:lang w:val="en"/>
        </w:rPr>
        <w:t xml:space="preserve"> including monitoring</w:t>
      </w:r>
      <w:r w:rsidR="00A83DC8" w:rsidRPr="00A83DC8">
        <w:rPr>
          <w:lang w:val="en"/>
        </w:rPr>
        <w:t xml:space="preserve"> </w:t>
      </w:r>
      <w:r>
        <w:rPr>
          <w:lang w:val="en"/>
        </w:rPr>
        <w:t>application</w:t>
      </w:r>
      <w:r w:rsidR="00A83DC8" w:rsidRPr="00A83DC8">
        <w:rPr>
          <w:lang w:val="en"/>
        </w:rPr>
        <w:t xml:space="preserve"> progress and actions required</w:t>
      </w:r>
    </w:p>
    <w:p w14:paraId="76B9A145" w14:textId="13717478" w:rsidR="00A83DC8" w:rsidRPr="00941577" w:rsidRDefault="00C63108" w:rsidP="00941577">
      <w:pPr>
        <w:numPr>
          <w:ilvl w:val="0"/>
          <w:numId w:val="41"/>
        </w:numPr>
        <w:spacing w:after="120" w:line="240" w:lineRule="auto"/>
        <w:ind w:left="714" w:hanging="357"/>
        <w:rPr>
          <w:lang w:val="en"/>
        </w:rPr>
      </w:pPr>
      <w:r>
        <w:rPr>
          <w:lang w:val="en"/>
        </w:rPr>
        <w:t>production of</w:t>
      </w:r>
      <w:r w:rsidR="00A83DC8" w:rsidRPr="00A83DC8">
        <w:rPr>
          <w:lang w:val="en"/>
        </w:rPr>
        <w:t xml:space="preserve"> reports from the title register</w:t>
      </w:r>
      <w:r w:rsidR="00DF02DC">
        <w:rPr>
          <w:lang w:val="en"/>
        </w:rPr>
        <w:t>,</w:t>
      </w:r>
      <w:r w:rsidR="00A83DC8" w:rsidRPr="00A83DC8">
        <w:rPr>
          <w:lang w:val="en"/>
        </w:rPr>
        <w:t xml:space="preserve"> using a range of criteria</w:t>
      </w:r>
      <w:r w:rsidR="00DF02DC">
        <w:rPr>
          <w:lang w:val="en"/>
        </w:rPr>
        <w:t>.</w:t>
      </w:r>
    </w:p>
    <w:p w14:paraId="45F5A89F" w14:textId="1518AF35" w:rsidR="00CE0D20" w:rsidRDefault="00CE0D20" w:rsidP="00732E64">
      <w:pPr>
        <w:spacing w:line="240" w:lineRule="auto"/>
      </w:pPr>
      <w:r w:rsidRPr="00C2586D">
        <w:t xml:space="preserve">Respondents </w:t>
      </w:r>
      <w:r>
        <w:t xml:space="preserve">to the 2016 stakeholder survey </w:t>
      </w:r>
      <w:r w:rsidRPr="00C2586D">
        <w:t xml:space="preserve">were </w:t>
      </w:r>
      <w:r w:rsidRPr="004A7B63">
        <w:t>satisfied</w:t>
      </w:r>
      <w:r>
        <w:rPr>
          <w:rStyle w:val="FootnoteReference"/>
        </w:rPr>
        <w:footnoteReference w:id="21"/>
      </w:r>
      <w:r w:rsidRPr="00C2586D">
        <w:t xml:space="preserve"> </w:t>
      </w:r>
      <w:r>
        <w:t>that the website information was clear (97 per cent); up-to-date, accessible and consistent (94 per cent), accurate (91 per cent) and complete (89 per cent).  Accessing guidelines and factsheets constitutes the majority of information that is accessed on the NOPTA website.</w:t>
      </w:r>
    </w:p>
    <w:p w14:paraId="5845EBC5" w14:textId="2930F48C" w:rsidR="00DC48C0" w:rsidRDefault="00903905" w:rsidP="00732E64">
      <w:pPr>
        <w:spacing w:line="240" w:lineRule="auto"/>
      </w:pPr>
      <w:r w:rsidRPr="007903BF">
        <w:rPr>
          <w:rStyle w:val="Emphasis"/>
          <w:i w:val="0"/>
          <w:lang w:val="en"/>
        </w:rPr>
        <w:t>NOPTA makes every effort to meet web accessibility standards for content provided on this site. The only exception is where information has been written and developed by a third party.</w:t>
      </w:r>
      <w:r>
        <w:rPr>
          <w:rStyle w:val="Emphasis"/>
          <w:lang w:val="en"/>
        </w:rPr>
        <w:t xml:space="preserve"> </w:t>
      </w:r>
    </w:p>
    <w:p w14:paraId="394D1C35" w14:textId="55EEB14A" w:rsidR="00DC48C0" w:rsidRPr="00DC48C0" w:rsidRDefault="00DC48C0" w:rsidP="00C267D5">
      <w:pPr>
        <w:pStyle w:val="Heading3"/>
      </w:pPr>
      <w:r w:rsidRPr="00DC48C0">
        <w:t>Public performance reporting</w:t>
      </w:r>
    </w:p>
    <w:p w14:paraId="5E3FF033" w14:textId="47012F0E" w:rsidR="00DC48C0" w:rsidRDefault="00DC48C0" w:rsidP="00FE0E8B">
      <w:pPr>
        <w:spacing w:line="240" w:lineRule="auto"/>
      </w:pPr>
      <w:r>
        <w:t xml:space="preserve">NOPTA’s monthly dashboard summaries provide performance statistics including timeframes of application processes; the number of applications with each Joint authority member; NOPTA’s finances; the number of data submissions outstanding and the number of wells and surveys completed per year. </w:t>
      </w:r>
    </w:p>
    <w:p w14:paraId="2D3438B5" w14:textId="77777777" w:rsidR="00DC48C0" w:rsidRPr="001E0F18" w:rsidRDefault="00DC48C0" w:rsidP="00C267D5">
      <w:pPr>
        <w:pStyle w:val="Heading3"/>
      </w:pPr>
      <w:r w:rsidRPr="001E0F18">
        <w:t xml:space="preserve">Annual report of activities </w:t>
      </w:r>
    </w:p>
    <w:p w14:paraId="2FB91FDC" w14:textId="77777777" w:rsidR="002C7ADA" w:rsidRDefault="00DC48C0" w:rsidP="00732E64">
      <w:pPr>
        <w:spacing w:line="240" w:lineRule="auto"/>
      </w:pPr>
      <w:r w:rsidRPr="002C7ADA">
        <w:t xml:space="preserve">NOPTA introduced its inaugural annual report of activities for the 2014-15 financial year.  The purpose of this report is to provide stakeholders with information specific to the activities of NOPTA headed by a statutory position of Titles Administrator.  The report complements statutory annual reporting by the Department of Industry, Innovation and Science, noting NOPTA is established as a branch of the Resources Division of the Department. </w:t>
      </w:r>
    </w:p>
    <w:p w14:paraId="477054F7" w14:textId="55F4D56E" w:rsidR="00DC48C0" w:rsidRPr="002C7ADA" w:rsidRDefault="002C7ADA" w:rsidP="00732E64">
      <w:pPr>
        <w:spacing w:line="240" w:lineRule="auto"/>
      </w:pPr>
      <w:r>
        <w:t>The Australian Government response to the 2015 Operational Review of NOPTA noted the annual report of activities and</w:t>
      </w:r>
      <w:r>
        <w:rPr>
          <w:lang w:eastAsia="zh-CN"/>
        </w:rPr>
        <w:t xml:space="preserve"> stated that it is</w:t>
      </w:r>
      <w:r>
        <w:t xml:space="preserve"> </w:t>
      </w:r>
      <w:r w:rsidRPr="00DF6957">
        <w:rPr>
          <w:lang w:eastAsia="zh-CN"/>
        </w:rPr>
        <w:t xml:space="preserve">consistent with the reporting requirements of the </w:t>
      </w:r>
      <w:r w:rsidR="00936A06">
        <w:rPr>
          <w:lang w:eastAsia="zh-CN"/>
        </w:rPr>
        <w:t>RPF</w:t>
      </w:r>
      <w:r w:rsidRPr="00DF6957">
        <w:rPr>
          <w:lang w:eastAsia="zh-CN"/>
        </w:rPr>
        <w:t>.</w:t>
      </w:r>
      <w:r w:rsidR="00DC48C0" w:rsidRPr="002C7ADA">
        <w:t xml:space="preserve"> </w:t>
      </w:r>
    </w:p>
    <w:p w14:paraId="3CAE0A8C" w14:textId="77777777" w:rsidR="00142060" w:rsidRDefault="00142060" w:rsidP="00732E64">
      <w:pPr>
        <w:pStyle w:val="Heading2"/>
        <w:spacing w:after="120" w:line="240" w:lineRule="auto"/>
      </w:pPr>
      <w:bookmarkStart w:id="35" w:name="_Toc468884919"/>
      <w:r>
        <w:t>Stakeholder comments</w:t>
      </w:r>
      <w:bookmarkEnd w:id="35"/>
    </w:p>
    <w:p w14:paraId="471FE584" w14:textId="55A183FF" w:rsidR="004A2C3E" w:rsidRDefault="00C60B5E" w:rsidP="00732E64">
      <w:pPr>
        <w:spacing w:line="240" w:lineRule="auto"/>
      </w:pPr>
      <w:r w:rsidRPr="00A37C75">
        <w:t xml:space="preserve">The 2016 stakeholder survey </w:t>
      </w:r>
      <w:r w:rsidR="0053767F">
        <w:t>reported strong satisfaction with the information received</w:t>
      </w:r>
      <w:r w:rsidR="001C43DB">
        <w:t>, using the NOPTA website and NEATS portal</w:t>
      </w:r>
      <w:r w:rsidR="002D5DEE">
        <w:t xml:space="preserve"> and </w:t>
      </w:r>
      <w:r w:rsidR="001C43DB">
        <w:t xml:space="preserve">in </w:t>
      </w:r>
      <w:r w:rsidR="002D5DEE">
        <w:t xml:space="preserve">personal communication </w:t>
      </w:r>
      <w:r w:rsidR="001C43DB">
        <w:t xml:space="preserve">with </w:t>
      </w:r>
      <w:r w:rsidR="002D5DEE">
        <w:t>NOPTA</w:t>
      </w:r>
      <w:r w:rsidR="001C43DB">
        <w:t>.</w:t>
      </w:r>
      <w:r w:rsidR="00C60077">
        <w:t xml:space="preserve">  </w:t>
      </w:r>
      <w:r w:rsidR="00E1533E">
        <w:t xml:space="preserve">An overwhelming majority consider </w:t>
      </w:r>
      <w:r w:rsidR="00A33B4C">
        <w:t xml:space="preserve">NOPTA </w:t>
      </w:r>
      <w:r w:rsidR="00E1533E">
        <w:t xml:space="preserve">open and transparent in its dealings and collaborative in its approach.  </w:t>
      </w:r>
      <w:r w:rsidR="00C60077">
        <w:lastRenderedPageBreak/>
        <w:t xml:space="preserve">There is relatively high level of interaction between NOPTA and its stakeholders.  </w:t>
      </w:r>
      <w:r w:rsidR="00184743">
        <w:t>Almost half</w:t>
      </w:r>
      <w:r w:rsidR="00184743">
        <w:rPr>
          <w:rStyle w:val="FootnoteReference"/>
        </w:rPr>
        <w:footnoteReference w:id="22"/>
      </w:r>
      <w:r w:rsidR="00184743">
        <w:t xml:space="preserve"> </w:t>
      </w:r>
      <w:r w:rsidR="00C60077">
        <w:t xml:space="preserve">of </w:t>
      </w:r>
      <w:r w:rsidR="00184743">
        <w:t xml:space="preserve">the </w:t>
      </w:r>
      <w:r w:rsidR="00C60077">
        <w:t xml:space="preserve">respondents engage </w:t>
      </w:r>
      <w:r w:rsidR="004A2C3E">
        <w:t xml:space="preserve">NOPTA </w:t>
      </w:r>
      <w:r w:rsidR="00C60077">
        <w:t xml:space="preserve">on a monthly basis with the remainder roughly split between engaging NOPTA on a weekly basis or less than monthly.  </w:t>
      </w:r>
    </w:p>
    <w:p w14:paraId="63300238" w14:textId="6CA506A5" w:rsidR="00534827" w:rsidRDefault="00C60077" w:rsidP="00732E64">
      <w:pPr>
        <w:spacing w:line="240" w:lineRule="auto"/>
      </w:pPr>
      <w:r>
        <w:t>Personal contact via phone, email or face-to-face meetings accounted for 90 per cent of the type of interaction NOPTA had with respondents, the NOPTA website 77 per cent and the NEATS portal 73</w:t>
      </w:r>
      <w:r w:rsidR="00374BC3">
        <w:t> </w:t>
      </w:r>
      <w:r>
        <w:t>per cent (respondents could select multiple options for th</w:t>
      </w:r>
      <w:r w:rsidR="00374BC3">
        <w:t>ese three types of interactions</w:t>
      </w:r>
      <w:r w:rsidR="003D7A61">
        <w:t>)</w:t>
      </w:r>
      <w:r>
        <w:t>.</w:t>
      </w:r>
      <w:r w:rsidR="00374BC3">
        <w:t xml:space="preserve">  </w:t>
      </w:r>
      <w:r w:rsidR="003D7A61">
        <w:t xml:space="preserve">Almost all respondents </w:t>
      </w:r>
      <w:r w:rsidR="00534827">
        <w:t>(</w:t>
      </w:r>
      <w:r w:rsidR="003D7A61">
        <w:t>85 to 95 per cent</w:t>
      </w:r>
      <w:r w:rsidR="00534827">
        <w:t xml:space="preserve"> </w:t>
      </w:r>
      <w:r w:rsidR="004A7B63">
        <w:t>satisfaction</w:t>
      </w:r>
      <w:r w:rsidR="004A7B63">
        <w:rPr>
          <w:rStyle w:val="FootnoteReference"/>
        </w:rPr>
        <w:footnoteReference w:id="23"/>
      </w:r>
      <w:r w:rsidR="003D7A61">
        <w:t xml:space="preserve">) rated personal communication with NOPTA </w:t>
      </w:r>
      <w:r w:rsidR="003D7A61" w:rsidRPr="00534827">
        <w:t>highly</w:t>
      </w:r>
      <w:r w:rsidR="003D7A61">
        <w:t xml:space="preserve"> and considered </w:t>
      </w:r>
      <w:r w:rsidR="00534827">
        <w:t>the</w:t>
      </w:r>
      <w:r w:rsidR="003D7A61">
        <w:t xml:space="preserve"> </w:t>
      </w:r>
      <w:r w:rsidR="00534827">
        <w:t>information</w:t>
      </w:r>
      <w:r w:rsidR="003D7A61">
        <w:t xml:space="preserve"> </w:t>
      </w:r>
      <w:r w:rsidR="00534827">
        <w:t>received</w:t>
      </w:r>
      <w:r w:rsidR="003D7A61">
        <w:t xml:space="preserve"> as </w:t>
      </w:r>
      <w:r w:rsidR="00534827">
        <w:t>clear, up-to-date, accessible, consistent, and complete.</w:t>
      </w:r>
    </w:p>
    <w:p w14:paraId="43A4A39F" w14:textId="77777777" w:rsidR="00941577" w:rsidRDefault="00941577">
      <w:pPr>
        <w:rPr>
          <w:rFonts w:asciiTheme="majorHAnsi" w:eastAsiaTheme="majorEastAsia" w:hAnsiTheme="majorHAnsi" w:cstheme="majorBidi"/>
          <w:b/>
          <w:color w:val="2E74B5" w:themeColor="accent1" w:themeShade="BF"/>
          <w:sz w:val="26"/>
          <w:szCs w:val="26"/>
        </w:rPr>
      </w:pPr>
      <w:r>
        <w:rPr>
          <w:b/>
        </w:rPr>
        <w:br w:type="page"/>
      </w:r>
    </w:p>
    <w:p w14:paraId="7FD8AF21" w14:textId="79BC30AF" w:rsidR="00B27C4A" w:rsidRPr="00A37C75" w:rsidRDefault="00823B49" w:rsidP="00732E64">
      <w:pPr>
        <w:pStyle w:val="Heading2"/>
        <w:spacing w:line="240" w:lineRule="auto"/>
        <w:rPr>
          <w:b/>
        </w:rPr>
      </w:pPr>
      <w:bookmarkStart w:id="36" w:name="_Toc468884920"/>
      <w:r>
        <w:rPr>
          <w:b/>
        </w:rPr>
        <w:lastRenderedPageBreak/>
        <w:t>KPI</w:t>
      </w:r>
      <w:r w:rsidR="00B27C4A" w:rsidRPr="00A37C75">
        <w:rPr>
          <w:b/>
        </w:rPr>
        <w:t xml:space="preserve"> 3</w:t>
      </w:r>
      <w:r w:rsidR="00C720F1">
        <w:rPr>
          <w:b/>
        </w:rPr>
        <w:t>:</w:t>
      </w:r>
      <w:r w:rsidR="00935652">
        <w:rPr>
          <w:b/>
        </w:rPr>
        <w:t xml:space="preserve"> </w:t>
      </w:r>
      <w:r>
        <w:rPr>
          <w:b/>
        </w:rPr>
        <w:t>A</w:t>
      </w:r>
      <w:r w:rsidR="00B27C4A" w:rsidRPr="00A37C75">
        <w:rPr>
          <w:b/>
        </w:rPr>
        <w:t xml:space="preserve">ctions undertaken by </w:t>
      </w:r>
      <w:r w:rsidR="00935652">
        <w:rPr>
          <w:b/>
        </w:rPr>
        <w:t>regulators</w:t>
      </w:r>
      <w:r w:rsidR="00B27C4A" w:rsidRPr="00A37C75">
        <w:rPr>
          <w:b/>
        </w:rPr>
        <w:t xml:space="preserve"> are proportionate to the regulatory risk being managed</w:t>
      </w:r>
      <w:bookmarkEnd w:id="36"/>
    </w:p>
    <w:p w14:paraId="05EC0957" w14:textId="77777777" w:rsidR="00142060" w:rsidRDefault="00142060" w:rsidP="00732E64">
      <w:pPr>
        <w:pStyle w:val="Heading2"/>
        <w:spacing w:after="120" w:line="240" w:lineRule="auto"/>
      </w:pPr>
      <w:bookmarkStart w:id="37" w:name="_Toc468884921"/>
      <w:r>
        <w:t>Summary</w:t>
      </w:r>
      <w:bookmarkEnd w:id="37"/>
    </w:p>
    <w:p w14:paraId="4A0901E1" w14:textId="489AEBCB" w:rsidR="00D829BC" w:rsidRPr="007F38C5" w:rsidRDefault="00D829BC" w:rsidP="00732E64">
      <w:pPr>
        <w:pStyle w:val="ListParagraph"/>
        <w:numPr>
          <w:ilvl w:val="0"/>
          <w:numId w:val="27"/>
        </w:numPr>
        <w:spacing w:after="120"/>
        <w:ind w:left="714" w:hanging="357"/>
        <w:contextualSpacing w:val="0"/>
        <w:rPr>
          <w:rFonts w:asciiTheme="minorHAnsi" w:hAnsiTheme="minorHAnsi"/>
          <w:color w:val="auto"/>
          <w:sz w:val="22"/>
          <w:szCs w:val="22"/>
        </w:rPr>
      </w:pPr>
      <w:r w:rsidRPr="007F38C5">
        <w:rPr>
          <w:rFonts w:asciiTheme="minorHAnsi" w:hAnsiTheme="minorHAnsi"/>
          <w:color w:val="auto"/>
          <w:sz w:val="22"/>
          <w:szCs w:val="22"/>
        </w:rPr>
        <w:t xml:space="preserve">NOPTA continued to provide high quality advice to the Joint Authorities </w:t>
      </w:r>
      <w:r w:rsidR="00B67B6B" w:rsidRPr="007F38C5">
        <w:rPr>
          <w:rFonts w:asciiTheme="minorHAnsi" w:hAnsiTheme="minorHAnsi"/>
          <w:color w:val="auto"/>
          <w:sz w:val="22"/>
          <w:szCs w:val="22"/>
        </w:rPr>
        <w:t>as</w:t>
      </w:r>
      <w:r w:rsidRPr="007F38C5">
        <w:rPr>
          <w:rFonts w:asciiTheme="minorHAnsi" w:hAnsiTheme="minorHAnsi"/>
          <w:color w:val="auto"/>
          <w:sz w:val="22"/>
          <w:szCs w:val="22"/>
        </w:rPr>
        <w:t xml:space="preserve"> the decision-maker for major petroleum titles.</w:t>
      </w:r>
    </w:p>
    <w:p w14:paraId="18BA6E0D" w14:textId="349EA777" w:rsidR="00A765CA" w:rsidRPr="007F38C5" w:rsidRDefault="00B67B6B" w:rsidP="00732E64">
      <w:pPr>
        <w:pStyle w:val="ListParagraph"/>
        <w:numPr>
          <w:ilvl w:val="0"/>
          <w:numId w:val="27"/>
        </w:numPr>
        <w:spacing w:after="120"/>
        <w:ind w:left="714" w:hanging="357"/>
        <w:contextualSpacing w:val="0"/>
        <w:rPr>
          <w:rFonts w:asciiTheme="minorHAnsi" w:hAnsiTheme="minorHAnsi"/>
          <w:color w:val="auto"/>
          <w:sz w:val="22"/>
          <w:szCs w:val="22"/>
        </w:rPr>
      </w:pPr>
      <w:r w:rsidRPr="007F38C5">
        <w:rPr>
          <w:rFonts w:asciiTheme="minorHAnsi" w:hAnsiTheme="minorHAnsi"/>
          <w:color w:val="auto"/>
          <w:sz w:val="22"/>
          <w:szCs w:val="22"/>
        </w:rPr>
        <w:t xml:space="preserve">Engaged titleholders proactively to improve the understanding of data submission requirements and to clarify requirements. </w:t>
      </w:r>
    </w:p>
    <w:p w14:paraId="64337F86" w14:textId="443FCE92" w:rsidR="00142060" w:rsidRDefault="00142060" w:rsidP="00732E64">
      <w:pPr>
        <w:pStyle w:val="Heading2"/>
        <w:spacing w:after="120" w:line="240" w:lineRule="auto"/>
      </w:pPr>
      <w:bookmarkStart w:id="38" w:name="_Toc468884922"/>
      <w:r>
        <w:t>KPI Expectations</w:t>
      </w:r>
      <w:bookmarkEnd w:id="38"/>
    </w:p>
    <w:p w14:paraId="26B03064" w14:textId="075EC246" w:rsidR="00142060" w:rsidRPr="00FF2FAE" w:rsidRDefault="00665604" w:rsidP="00FE0E8B">
      <w:pPr>
        <w:spacing w:line="240" w:lineRule="auto"/>
      </w:pPr>
      <w:r>
        <w:t>A risk-based approached is used to promote the most efficient use of resource</w:t>
      </w:r>
      <w:r w:rsidR="00277068">
        <w:t>s</w:t>
      </w:r>
      <w:r>
        <w:t xml:space="preserve"> and improve the effectiveness of the regulatory framework</w:t>
      </w:r>
      <w:r w:rsidR="00277068">
        <w:t xml:space="preserve">.  </w:t>
      </w:r>
      <w:r>
        <w:t xml:space="preserve"> </w:t>
      </w:r>
      <w:r w:rsidR="00277068">
        <w:t xml:space="preserve">This is achieved </w:t>
      </w:r>
      <w:r>
        <w:t>through minimising burden on thos</w:t>
      </w:r>
      <w:r w:rsidR="00277068">
        <w:t>e who are voluntarily compliant</w:t>
      </w:r>
      <w:r>
        <w:t xml:space="preserve"> and ensuring that enforcement action is proportionate and undertaken only when necessary. </w:t>
      </w:r>
    </w:p>
    <w:p w14:paraId="503D37B5" w14:textId="4EA3F8CC" w:rsidR="00142060" w:rsidRDefault="00C31610" w:rsidP="00732E64">
      <w:pPr>
        <w:pStyle w:val="Heading2"/>
        <w:spacing w:after="120" w:line="240" w:lineRule="auto"/>
      </w:pPr>
      <w:bookmarkStart w:id="39" w:name="_Toc468884923"/>
      <w:r>
        <w:t>NOPTA’s Approach</w:t>
      </w:r>
      <w:bookmarkEnd w:id="39"/>
      <w:r w:rsidR="00142060" w:rsidRPr="00686DDC">
        <w:t xml:space="preserve"> </w:t>
      </w:r>
    </w:p>
    <w:p w14:paraId="0141B43E" w14:textId="50AC716F" w:rsidR="002C531E" w:rsidRDefault="00277068" w:rsidP="00732E64">
      <w:pPr>
        <w:spacing w:line="240" w:lineRule="auto"/>
      </w:pPr>
      <w:r w:rsidRPr="0073441D">
        <w:t>In general</w:t>
      </w:r>
      <w:r>
        <w:t>, the industry is highly compliant with its legislative requirements, proactive in engaging NOPTA early on compliance issues and highly conscious of its social licence to operate.</w:t>
      </w:r>
      <w:r w:rsidR="00AC78EC">
        <w:t xml:space="preserve">  NOPTA encourages early engagement and ensures its actions are transparent, flexible and consistent </w:t>
      </w:r>
      <w:r w:rsidR="007E3925">
        <w:t>as</w:t>
      </w:r>
      <w:r w:rsidR="00AC78EC">
        <w:t xml:space="preserve"> appropriate. NOPTA has a strong appreciation of the industry it regulates. Each team in NOPTA contributes to compliance activities</w:t>
      </w:r>
      <w:r w:rsidR="007E3925">
        <w:t xml:space="preserve"> through educating and engaging their relevant stakeholders.</w:t>
      </w:r>
    </w:p>
    <w:p w14:paraId="2319BB4F" w14:textId="06E4C6C1" w:rsidR="00142060" w:rsidRDefault="00142060" w:rsidP="00941577">
      <w:pPr>
        <w:pStyle w:val="Heading2"/>
      </w:pPr>
      <w:bookmarkStart w:id="40" w:name="_Toc468884924"/>
      <w:r w:rsidRPr="00010720">
        <w:t>Results</w:t>
      </w:r>
      <w:bookmarkEnd w:id="40"/>
    </w:p>
    <w:p w14:paraId="10E93978" w14:textId="5C9917D0" w:rsidR="00CC5C8D" w:rsidRPr="007903BF" w:rsidRDefault="0076285F" w:rsidP="00C267D5">
      <w:pPr>
        <w:pStyle w:val="Heading3"/>
      </w:pPr>
      <w:r w:rsidRPr="0085017C">
        <w:t>Managing regulatory risk</w:t>
      </w:r>
      <w:r w:rsidR="00CC5C8D">
        <w:t xml:space="preserve"> -</w:t>
      </w:r>
      <w:r w:rsidR="00CC5C8D" w:rsidRPr="00CC5C8D">
        <w:t xml:space="preserve"> </w:t>
      </w:r>
      <w:r w:rsidR="00CC5C8D">
        <w:t>p</w:t>
      </w:r>
      <w:r w:rsidR="00CC5C8D" w:rsidRPr="007903BF">
        <w:t>roactive approach</w:t>
      </w:r>
      <w:r w:rsidR="00CC5C8D">
        <w:t xml:space="preserve"> and early engagement</w:t>
      </w:r>
    </w:p>
    <w:p w14:paraId="237A7BBC" w14:textId="458CEDF4" w:rsidR="0076285F" w:rsidRDefault="0076285F" w:rsidP="0076285F">
      <w:pPr>
        <w:spacing w:line="240" w:lineRule="auto"/>
      </w:pPr>
      <w:r>
        <w:t xml:space="preserve">Communication is central to managing regulatory risk.  The emphasis on early engagement and communication recognises </w:t>
      </w:r>
      <w:r w:rsidR="00040276">
        <w:t xml:space="preserve">that some of the </w:t>
      </w:r>
      <w:r>
        <w:t>options for a regulatory decision by the Joint Authorities</w:t>
      </w:r>
      <w:r w:rsidR="00040276">
        <w:t xml:space="preserve"> need to be considered prior to the</w:t>
      </w:r>
      <w:r>
        <w:t xml:space="preserve"> non-compliance </w:t>
      </w:r>
      <w:r w:rsidR="00040276">
        <w:t>occurring</w:t>
      </w:r>
      <w:r>
        <w:t xml:space="preserve">. </w:t>
      </w:r>
      <w:r w:rsidR="002C531E">
        <w:t xml:space="preserve"> NOPTA has a published Compliance and Enforcement Policy to communicate expectations to stakeholders.</w:t>
      </w:r>
      <w:r w:rsidR="002C531E">
        <w:rPr>
          <w:rStyle w:val="FootnoteReference"/>
        </w:rPr>
        <w:footnoteReference w:id="24"/>
      </w:r>
      <w:r>
        <w:t xml:space="preserve"> </w:t>
      </w:r>
    </w:p>
    <w:p w14:paraId="2CE99AB0" w14:textId="2CACCB7B" w:rsidR="0076285F" w:rsidRDefault="0076285F" w:rsidP="0076285F">
      <w:pPr>
        <w:spacing w:line="240" w:lineRule="auto"/>
      </w:pPr>
      <w:r>
        <w:t xml:space="preserve">For example, a titleholder that does not complete a work program (e.g. specific exploration type activities such as seismic surveys or drilling a well) in the year specified as a condition of the title would be in non-compliance and constitutes grounds for cancellation of the title under the OPGGSA.  Titleholders are awarded titles on a competitive basis that are primarily judged on the merits of a work program. </w:t>
      </w:r>
    </w:p>
    <w:p w14:paraId="530392DF" w14:textId="3E378937" w:rsidR="00CC5C8D" w:rsidRDefault="0076285F" w:rsidP="0076285F">
      <w:pPr>
        <w:spacing w:line="240" w:lineRule="auto"/>
      </w:pPr>
      <w:r>
        <w:t>This type of non-compliance and potential cancellation may be avoided by engaging NOPTA and</w:t>
      </w:r>
      <w:r w:rsidR="00C23D81">
        <w:t>, through NOPTA,</w:t>
      </w:r>
      <w:r>
        <w:t xml:space="preserve"> the </w:t>
      </w:r>
      <w:r w:rsidR="00C23D81">
        <w:t xml:space="preserve">Joint Authorities </w:t>
      </w:r>
      <w:r>
        <w:t xml:space="preserve">at an early stage.  NOPTA can convey options to the titleholder such seeking a suspension and/or extension of the title from the </w:t>
      </w:r>
      <w:r w:rsidR="00C23D81">
        <w:t>Joint Authorities</w:t>
      </w:r>
      <w:r>
        <w:t xml:space="preserve">.  Early engagement by the titleholder can also aid NOPTA in understanding the reasons why the work program could not be completed in a required year.  NOPTA would be better informed to advise the </w:t>
      </w:r>
      <w:r w:rsidR="00C23D81">
        <w:t xml:space="preserve">Joint Authorities </w:t>
      </w:r>
      <w:r>
        <w:t xml:space="preserve">in greater detail and confidence on why or why not the suspension and/or extension should (or should not) be granted by the </w:t>
      </w:r>
      <w:r w:rsidR="00C23D81">
        <w:t xml:space="preserve">Joint Authorities </w:t>
      </w:r>
      <w:r>
        <w:t xml:space="preserve">.  The </w:t>
      </w:r>
      <w:r w:rsidR="00C23D81">
        <w:t xml:space="preserve">Joint Authorities </w:t>
      </w:r>
      <w:r w:rsidR="00936A06">
        <w:t xml:space="preserve">are </w:t>
      </w:r>
      <w:r>
        <w:t>not, however, required to accept NOPTA’s advice.</w:t>
      </w:r>
    </w:p>
    <w:p w14:paraId="272F5598" w14:textId="59D49801" w:rsidR="00B05146" w:rsidRPr="00C267D5" w:rsidRDefault="0076285F" w:rsidP="00C267D5">
      <w:pPr>
        <w:pStyle w:val="Heading4"/>
      </w:pPr>
      <w:r w:rsidRPr="00C267D5">
        <w:t xml:space="preserve">Example - </w:t>
      </w:r>
      <w:r w:rsidR="00903905" w:rsidRPr="00C267D5">
        <w:t>Data Management</w:t>
      </w:r>
    </w:p>
    <w:p w14:paraId="7749CBAC" w14:textId="7397C789" w:rsidR="00A65ED1" w:rsidRDefault="00A65ED1" w:rsidP="00732E64">
      <w:pPr>
        <w:spacing w:line="240" w:lineRule="auto"/>
      </w:pPr>
      <w:r>
        <w:t xml:space="preserve">Regular contact is maintained with titleholders and service contractors on data management expectations and </w:t>
      </w:r>
      <w:r w:rsidR="00AB3BEA">
        <w:t xml:space="preserve">submissions </w:t>
      </w:r>
      <w:r>
        <w:t>due. Meetings are regularly held with titleholders and contractors on areas of ambiguity, non-compliance and any arising issues. Details of submission</w:t>
      </w:r>
      <w:r w:rsidR="00AB3BEA">
        <w:t>s</w:t>
      </w:r>
      <w:r>
        <w:t xml:space="preserve"> due in coming months and any outstanding data submissions are communicated to titleholders on a bi-monthly </w:t>
      </w:r>
      <w:r>
        <w:lastRenderedPageBreak/>
        <w:t>basis to ensure that non-compliance is reduced and that there are shared expectations on data management issues.</w:t>
      </w:r>
    </w:p>
    <w:p w14:paraId="65178E9A" w14:textId="3AA87EF5" w:rsidR="00A65ED1" w:rsidRDefault="00A65ED1" w:rsidP="00732E64">
      <w:pPr>
        <w:spacing w:line="240" w:lineRule="auto"/>
      </w:pPr>
      <w:r>
        <w:t xml:space="preserve">In addition to ‘early warning’ on data submissions </w:t>
      </w:r>
      <w:r w:rsidR="00AB3BEA">
        <w:t xml:space="preserve">due </w:t>
      </w:r>
      <w:r>
        <w:t xml:space="preserve">NOPTA completes a compliance check to ensure that all regulated items are provided. Data is then provided to Geoscience Australia for completion of data quality and fitness for purpose checks, with NOPTA undertaking compliance follow up activity at each stage.  </w:t>
      </w:r>
    </w:p>
    <w:p w14:paraId="4B376950" w14:textId="1A5D8A76" w:rsidR="00A65ED1" w:rsidRDefault="0076285F" w:rsidP="00FE0E8B">
      <w:pPr>
        <w:spacing w:line="240" w:lineRule="auto"/>
      </w:pPr>
      <w:r>
        <w:t xml:space="preserve">This open and engaging approach reflects NOPTA’s commitment to effective communication to ensure that regulated entities understanding what they need to do.  These proactive activities also support NOPTA’s compliance, regulatory feedback and continuous improvement objectives. </w:t>
      </w:r>
    </w:p>
    <w:p w14:paraId="1806E803" w14:textId="5BFF8C29" w:rsidR="00CC5C8D" w:rsidRDefault="00CC5C8D" w:rsidP="00C267D5">
      <w:pPr>
        <w:pStyle w:val="Heading3"/>
      </w:pPr>
      <w:r w:rsidRPr="00731E3F">
        <w:t>Business risks</w:t>
      </w:r>
    </w:p>
    <w:p w14:paraId="75B0EF43" w14:textId="4B5F0949" w:rsidR="00CC5C8D" w:rsidRPr="00731E3F" w:rsidRDefault="00CC5C8D" w:rsidP="00FE0E8B">
      <w:pPr>
        <w:spacing w:line="240" w:lineRule="auto"/>
        <w:rPr>
          <w:b/>
          <w:u w:val="single"/>
        </w:rPr>
      </w:pPr>
      <w:r>
        <w:t>Business risks are assessed and discussed at management team meetings as part of the decision making process when evaluating projects and associated funding commitments.  Risks associated with procurements are documented and prioritised in accordance with the Department’s guidelines.  Technical and business risks are also assessed, documented and agreed with internal and relevant external parties as part of NOPTA’s project management process.</w:t>
      </w:r>
    </w:p>
    <w:p w14:paraId="702E5A66" w14:textId="6F265445" w:rsidR="00C06043" w:rsidRDefault="00C06043" w:rsidP="00732E64">
      <w:pPr>
        <w:pStyle w:val="Heading2"/>
        <w:spacing w:after="120" w:line="240" w:lineRule="auto"/>
      </w:pPr>
      <w:bookmarkStart w:id="41" w:name="_Toc468884925"/>
      <w:r>
        <w:t>Stakeholder comments</w:t>
      </w:r>
      <w:bookmarkEnd w:id="41"/>
    </w:p>
    <w:p w14:paraId="371D3FFA" w14:textId="1940D93F" w:rsidR="00C720F1" w:rsidRPr="00781E35" w:rsidRDefault="0066448F" w:rsidP="00732E64">
      <w:pPr>
        <w:spacing w:line="240" w:lineRule="auto"/>
        <w:rPr>
          <w:rFonts w:eastAsiaTheme="majorEastAsia" w:cstheme="majorBidi"/>
          <w:b/>
          <w:color w:val="2E74B5" w:themeColor="accent1" w:themeShade="BF"/>
        </w:rPr>
      </w:pPr>
      <w:r>
        <w:t>Almost all non-titleholder respondents</w:t>
      </w:r>
      <w:r w:rsidR="00F25C84">
        <w:t xml:space="preserve"> – 91 per cent – to th</w:t>
      </w:r>
      <w:r>
        <w:t>e 2016 stak</w:t>
      </w:r>
      <w:r w:rsidR="00F25C84">
        <w:t>eholder survey considered that NOPTA decisions make are always or often transparent, justified, consistent and predictable.  As a comparison, titleholders considered decision-making to be transparent (78 per cent always or often), justified (81 per cent always or often) and consistent (89 per cent always or often).</w:t>
      </w:r>
    </w:p>
    <w:p w14:paraId="2C6F9443" w14:textId="77777777" w:rsidR="00941577" w:rsidRDefault="00941577">
      <w:pPr>
        <w:rPr>
          <w:rFonts w:asciiTheme="majorHAnsi" w:eastAsiaTheme="majorEastAsia" w:hAnsiTheme="majorHAnsi" w:cstheme="majorBidi"/>
          <w:b/>
          <w:color w:val="2E74B5" w:themeColor="accent1" w:themeShade="BF"/>
          <w:sz w:val="26"/>
          <w:szCs w:val="26"/>
        </w:rPr>
      </w:pPr>
      <w:r>
        <w:rPr>
          <w:b/>
        </w:rPr>
        <w:br w:type="page"/>
      </w:r>
    </w:p>
    <w:p w14:paraId="5B682972" w14:textId="1E25D52B" w:rsidR="006F714F" w:rsidRPr="00A37C75" w:rsidRDefault="00823B49" w:rsidP="00732E64">
      <w:pPr>
        <w:pStyle w:val="Heading2"/>
        <w:spacing w:line="240" w:lineRule="auto"/>
        <w:rPr>
          <w:b/>
        </w:rPr>
      </w:pPr>
      <w:bookmarkStart w:id="42" w:name="_Toc468884926"/>
      <w:r>
        <w:rPr>
          <w:b/>
        </w:rPr>
        <w:lastRenderedPageBreak/>
        <w:t>KPI</w:t>
      </w:r>
      <w:r w:rsidR="006F714F" w:rsidRPr="00A37C75">
        <w:rPr>
          <w:b/>
        </w:rPr>
        <w:t xml:space="preserve"> 4</w:t>
      </w:r>
      <w:r w:rsidR="00C720F1">
        <w:rPr>
          <w:b/>
        </w:rPr>
        <w:t>:</w:t>
      </w:r>
      <w:r>
        <w:rPr>
          <w:b/>
        </w:rPr>
        <w:t xml:space="preserve"> </w:t>
      </w:r>
      <w:r w:rsidR="006F714F" w:rsidRPr="00A37C75">
        <w:rPr>
          <w:b/>
        </w:rPr>
        <w:t>Compliance and monitoring approaches are streamlined and coordinated</w:t>
      </w:r>
      <w:bookmarkEnd w:id="42"/>
      <w:r w:rsidR="006F714F" w:rsidRPr="00A37C75">
        <w:rPr>
          <w:b/>
        </w:rPr>
        <w:t xml:space="preserve"> </w:t>
      </w:r>
    </w:p>
    <w:p w14:paraId="4964F165" w14:textId="77777777" w:rsidR="00142060" w:rsidRDefault="00142060" w:rsidP="00732E64">
      <w:pPr>
        <w:pStyle w:val="Heading2"/>
        <w:spacing w:after="120" w:line="240" w:lineRule="auto"/>
      </w:pPr>
      <w:bookmarkStart w:id="43" w:name="_Toc468884927"/>
      <w:r>
        <w:t>Summary</w:t>
      </w:r>
      <w:bookmarkEnd w:id="43"/>
    </w:p>
    <w:p w14:paraId="2B4BD235" w14:textId="1A5D4D0A" w:rsidR="00A65ED1" w:rsidRDefault="00816450" w:rsidP="00732E64">
      <w:pPr>
        <w:pStyle w:val="ListParagraph"/>
        <w:numPr>
          <w:ilvl w:val="0"/>
          <w:numId w:val="29"/>
        </w:numPr>
        <w:spacing w:after="120"/>
        <w:ind w:left="714" w:hanging="357"/>
        <w:contextualSpacing w:val="0"/>
        <w:rPr>
          <w:rFonts w:asciiTheme="minorHAnsi" w:hAnsiTheme="minorHAnsi"/>
          <w:color w:val="auto"/>
          <w:sz w:val="22"/>
          <w:szCs w:val="22"/>
        </w:rPr>
      </w:pPr>
      <w:r>
        <w:rPr>
          <w:rFonts w:asciiTheme="minorHAnsi" w:hAnsiTheme="minorHAnsi"/>
          <w:color w:val="auto"/>
          <w:sz w:val="22"/>
          <w:szCs w:val="22"/>
        </w:rPr>
        <w:t>Promoted and populated the National Offshore Petroleum Information Management System (NOPIMS) i</w:t>
      </w:r>
      <w:r w:rsidR="00A65ED1">
        <w:rPr>
          <w:rFonts w:asciiTheme="minorHAnsi" w:hAnsiTheme="minorHAnsi"/>
          <w:color w:val="auto"/>
          <w:sz w:val="22"/>
          <w:szCs w:val="22"/>
        </w:rPr>
        <w:t>n collaboration with Geoscience Australia</w:t>
      </w:r>
      <w:r>
        <w:rPr>
          <w:rFonts w:asciiTheme="minorHAnsi" w:hAnsiTheme="minorHAnsi"/>
          <w:color w:val="auto"/>
          <w:sz w:val="22"/>
          <w:szCs w:val="22"/>
        </w:rPr>
        <w:t xml:space="preserve">.  </w:t>
      </w:r>
    </w:p>
    <w:p w14:paraId="3D11875E" w14:textId="3DC5CEA3" w:rsidR="00A65ED1" w:rsidRDefault="005968DD" w:rsidP="00732E64">
      <w:pPr>
        <w:pStyle w:val="ListParagraph"/>
        <w:numPr>
          <w:ilvl w:val="0"/>
          <w:numId w:val="29"/>
        </w:numPr>
        <w:spacing w:after="120"/>
        <w:ind w:left="714" w:hanging="357"/>
        <w:contextualSpacing w:val="0"/>
        <w:rPr>
          <w:rFonts w:asciiTheme="minorHAnsi" w:hAnsiTheme="minorHAnsi"/>
          <w:color w:val="auto"/>
          <w:sz w:val="22"/>
          <w:szCs w:val="22"/>
        </w:rPr>
      </w:pPr>
      <w:r>
        <w:rPr>
          <w:rFonts w:asciiTheme="minorHAnsi" w:hAnsiTheme="minorHAnsi"/>
          <w:color w:val="auto"/>
          <w:sz w:val="22"/>
          <w:szCs w:val="22"/>
        </w:rPr>
        <w:t>NOPTA and Geoscience Australia d</w:t>
      </w:r>
      <w:r w:rsidR="00816450">
        <w:rPr>
          <w:rFonts w:asciiTheme="minorHAnsi" w:hAnsiTheme="minorHAnsi"/>
          <w:color w:val="auto"/>
          <w:sz w:val="22"/>
          <w:szCs w:val="22"/>
        </w:rPr>
        <w:t xml:space="preserve">eveloped the National Offshore Petroleum Data Integration </w:t>
      </w:r>
      <w:r w:rsidR="00D16595">
        <w:rPr>
          <w:rFonts w:asciiTheme="minorHAnsi" w:hAnsiTheme="minorHAnsi"/>
          <w:color w:val="auto"/>
          <w:sz w:val="22"/>
          <w:szCs w:val="22"/>
        </w:rPr>
        <w:t>P</w:t>
      </w:r>
      <w:r w:rsidR="00816450">
        <w:rPr>
          <w:rFonts w:asciiTheme="minorHAnsi" w:hAnsiTheme="minorHAnsi"/>
          <w:color w:val="auto"/>
          <w:sz w:val="22"/>
          <w:szCs w:val="22"/>
        </w:rPr>
        <w:t xml:space="preserve">roject (NOPDIP) in collaboration with Geoscience Australia.  </w:t>
      </w:r>
    </w:p>
    <w:p w14:paraId="6339F138" w14:textId="686CD5C7" w:rsidR="00816450" w:rsidRDefault="00F85176" w:rsidP="00732E64">
      <w:pPr>
        <w:pStyle w:val="ListParagraph"/>
        <w:numPr>
          <w:ilvl w:val="0"/>
          <w:numId w:val="29"/>
        </w:numPr>
        <w:spacing w:after="120"/>
        <w:ind w:left="714" w:hanging="357"/>
        <w:contextualSpacing w:val="0"/>
        <w:rPr>
          <w:rFonts w:asciiTheme="minorHAnsi" w:hAnsiTheme="minorHAnsi"/>
          <w:color w:val="auto"/>
          <w:sz w:val="22"/>
          <w:szCs w:val="22"/>
        </w:rPr>
      </w:pPr>
      <w:r w:rsidRPr="0008769C">
        <w:rPr>
          <w:rFonts w:asciiTheme="minorHAnsi" w:hAnsiTheme="minorHAnsi"/>
          <w:color w:val="auto"/>
          <w:sz w:val="22"/>
          <w:szCs w:val="22"/>
        </w:rPr>
        <w:t xml:space="preserve">Identified opportunities to streamline and share services to reduce costs, including the provision of geographic information </w:t>
      </w:r>
      <w:r w:rsidR="00A27ADD" w:rsidRPr="0008769C">
        <w:rPr>
          <w:rFonts w:asciiTheme="minorHAnsi" w:hAnsiTheme="minorHAnsi"/>
          <w:color w:val="auto"/>
          <w:sz w:val="22"/>
          <w:szCs w:val="22"/>
        </w:rPr>
        <w:t>s</w:t>
      </w:r>
      <w:r w:rsidR="00A27ADD">
        <w:rPr>
          <w:rFonts w:asciiTheme="minorHAnsi" w:hAnsiTheme="minorHAnsi"/>
          <w:color w:val="auto"/>
          <w:sz w:val="22"/>
          <w:szCs w:val="22"/>
        </w:rPr>
        <w:t>ervices</w:t>
      </w:r>
      <w:r w:rsidR="00A27ADD" w:rsidRPr="0008769C">
        <w:rPr>
          <w:rFonts w:asciiTheme="minorHAnsi" w:hAnsiTheme="minorHAnsi"/>
          <w:color w:val="auto"/>
          <w:sz w:val="22"/>
          <w:szCs w:val="22"/>
        </w:rPr>
        <w:t xml:space="preserve"> </w:t>
      </w:r>
      <w:r w:rsidRPr="0008769C">
        <w:rPr>
          <w:rFonts w:asciiTheme="minorHAnsi" w:hAnsiTheme="minorHAnsi"/>
          <w:color w:val="auto"/>
          <w:sz w:val="22"/>
          <w:szCs w:val="22"/>
        </w:rPr>
        <w:t>to NOPSEMA</w:t>
      </w:r>
      <w:r w:rsidR="00640668">
        <w:rPr>
          <w:rFonts w:asciiTheme="minorHAnsi" w:hAnsiTheme="minorHAnsi"/>
          <w:color w:val="auto"/>
          <w:sz w:val="22"/>
          <w:szCs w:val="22"/>
        </w:rPr>
        <w:t>.</w:t>
      </w:r>
      <w:r w:rsidR="00DB5B11">
        <w:rPr>
          <w:rFonts w:asciiTheme="minorHAnsi" w:hAnsiTheme="minorHAnsi"/>
          <w:color w:val="auto"/>
          <w:sz w:val="22"/>
          <w:szCs w:val="22"/>
        </w:rPr>
        <w:t xml:space="preserve"> </w:t>
      </w:r>
    </w:p>
    <w:p w14:paraId="04A7C4C1" w14:textId="7FCCA27C" w:rsidR="004D2623" w:rsidRPr="0008769C" w:rsidRDefault="00816450" w:rsidP="00732E64">
      <w:pPr>
        <w:pStyle w:val="ListParagraph"/>
        <w:numPr>
          <w:ilvl w:val="0"/>
          <w:numId w:val="29"/>
        </w:numPr>
        <w:spacing w:after="120"/>
        <w:ind w:left="714" w:hanging="357"/>
        <w:contextualSpacing w:val="0"/>
        <w:rPr>
          <w:rFonts w:asciiTheme="minorHAnsi" w:hAnsiTheme="minorHAnsi"/>
          <w:color w:val="auto"/>
          <w:sz w:val="22"/>
          <w:szCs w:val="22"/>
        </w:rPr>
      </w:pPr>
      <w:r>
        <w:rPr>
          <w:rFonts w:asciiTheme="minorHAnsi" w:hAnsiTheme="minorHAnsi"/>
          <w:color w:val="auto"/>
          <w:sz w:val="22"/>
          <w:szCs w:val="22"/>
        </w:rPr>
        <w:t>C</w:t>
      </w:r>
      <w:r w:rsidR="00DB5B11">
        <w:rPr>
          <w:rFonts w:asciiTheme="minorHAnsi" w:hAnsiTheme="minorHAnsi"/>
          <w:color w:val="auto"/>
          <w:sz w:val="22"/>
          <w:szCs w:val="22"/>
        </w:rPr>
        <w:t>ollaborat</w:t>
      </w:r>
      <w:r>
        <w:rPr>
          <w:rFonts w:asciiTheme="minorHAnsi" w:hAnsiTheme="minorHAnsi"/>
          <w:color w:val="auto"/>
          <w:sz w:val="22"/>
          <w:szCs w:val="22"/>
        </w:rPr>
        <w:t>ed</w:t>
      </w:r>
      <w:r w:rsidR="00DB5B11">
        <w:rPr>
          <w:rFonts w:asciiTheme="minorHAnsi" w:hAnsiTheme="minorHAnsi"/>
          <w:color w:val="auto"/>
          <w:sz w:val="22"/>
          <w:szCs w:val="22"/>
        </w:rPr>
        <w:t xml:space="preserve"> with </w:t>
      </w:r>
      <w:r>
        <w:rPr>
          <w:rFonts w:asciiTheme="minorHAnsi" w:hAnsiTheme="minorHAnsi"/>
          <w:color w:val="auto"/>
          <w:sz w:val="22"/>
          <w:szCs w:val="22"/>
        </w:rPr>
        <w:t>Geoscience Australia</w:t>
      </w:r>
      <w:r w:rsidDel="00816450">
        <w:rPr>
          <w:rFonts w:asciiTheme="minorHAnsi" w:hAnsiTheme="minorHAnsi"/>
          <w:color w:val="auto"/>
          <w:sz w:val="22"/>
          <w:szCs w:val="22"/>
        </w:rPr>
        <w:t xml:space="preserve"> </w:t>
      </w:r>
      <w:r w:rsidR="00DB5B11">
        <w:rPr>
          <w:rFonts w:asciiTheme="minorHAnsi" w:hAnsiTheme="minorHAnsi"/>
          <w:color w:val="auto"/>
          <w:sz w:val="22"/>
          <w:szCs w:val="22"/>
        </w:rPr>
        <w:t xml:space="preserve">and </w:t>
      </w:r>
      <w:r>
        <w:rPr>
          <w:rFonts w:asciiTheme="minorHAnsi" w:hAnsiTheme="minorHAnsi"/>
          <w:color w:val="auto"/>
          <w:sz w:val="22"/>
          <w:szCs w:val="22"/>
        </w:rPr>
        <w:t xml:space="preserve">the Western Australian </w:t>
      </w:r>
      <w:r w:rsidR="00640668">
        <w:rPr>
          <w:rFonts w:asciiTheme="minorHAnsi" w:hAnsiTheme="minorHAnsi"/>
          <w:color w:val="auto"/>
          <w:sz w:val="22"/>
          <w:szCs w:val="22"/>
        </w:rPr>
        <w:t>D</w:t>
      </w:r>
      <w:r>
        <w:rPr>
          <w:rFonts w:asciiTheme="minorHAnsi" w:hAnsiTheme="minorHAnsi"/>
          <w:color w:val="auto"/>
          <w:sz w:val="22"/>
          <w:szCs w:val="22"/>
        </w:rPr>
        <w:t xml:space="preserve">epartment of </w:t>
      </w:r>
      <w:r w:rsidR="00640668">
        <w:rPr>
          <w:rFonts w:asciiTheme="minorHAnsi" w:hAnsiTheme="minorHAnsi"/>
          <w:color w:val="auto"/>
          <w:sz w:val="22"/>
          <w:szCs w:val="22"/>
        </w:rPr>
        <w:t>M</w:t>
      </w:r>
      <w:r>
        <w:rPr>
          <w:rFonts w:asciiTheme="minorHAnsi" w:hAnsiTheme="minorHAnsi"/>
          <w:color w:val="auto"/>
          <w:sz w:val="22"/>
          <w:szCs w:val="22"/>
        </w:rPr>
        <w:t xml:space="preserve">ines and </w:t>
      </w:r>
      <w:r w:rsidR="00640668">
        <w:rPr>
          <w:rFonts w:asciiTheme="minorHAnsi" w:hAnsiTheme="minorHAnsi"/>
          <w:color w:val="auto"/>
          <w:sz w:val="22"/>
          <w:szCs w:val="22"/>
        </w:rPr>
        <w:t>P</w:t>
      </w:r>
      <w:r>
        <w:rPr>
          <w:rFonts w:asciiTheme="minorHAnsi" w:hAnsiTheme="minorHAnsi"/>
          <w:color w:val="auto"/>
          <w:sz w:val="22"/>
          <w:szCs w:val="22"/>
        </w:rPr>
        <w:t>etroleum</w:t>
      </w:r>
      <w:r w:rsidR="00640668">
        <w:rPr>
          <w:rFonts w:asciiTheme="minorHAnsi" w:hAnsiTheme="minorHAnsi"/>
          <w:color w:val="auto"/>
          <w:sz w:val="22"/>
          <w:szCs w:val="22"/>
        </w:rPr>
        <w:t xml:space="preserve"> </w:t>
      </w:r>
      <w:r>
        <w:rPr>
          <w:rFonts w:asciiTheme="minorHAnsi" w:hAnsiTheme="minorHAnsi"/>
          <w:color w:val="auto"/>
          <w:sz w:val="22"/>
          <w:szCs w:val="22"/>
        </w:rPr>
        <w:t>to</w:t>
      </w:r>
      <w:r w:rsidR="00640668">
        <w:rPr>
          <w:rFonts w:asciiTheme="minorHAnsi" w:hAnsiTheme="minorHAnsi"/>
          <w:color w:val="auto"/>
          <w:sz w:val="22"/>
          <w:szCs w:val="22"/>
        </w:rPr>
        <w:t xml:space="preserve"> streamlin</w:t>
      </w:r>
      <w:r>
        <w:rPr>
          <w:rFonts w:asciiTheme="minorHAnsi" w:hAnsiTheme="minorHAnsi"/>
          <w:color w:val="auto"/>
          <w:sz w:val="22"/>
          <w:szCs w:val="22"/>
        </w:rPr>
        <w:t>e</w:t>
      </w:r>
      <w:r w:rsidR="00640668">
        <w:rPr>
          <w:rFonts w:asciiTheme="minorHAnsi" w:hAnsiTheme="minorHAnsi"/>
          <w:color w:val="auto"/>
          <w:sz w:val="22"/>
          <w:szCs w:val="22"/>
        </w:rPr>
        <w:t xml:space="preserve"> spatial data provision</w:t>
      </w:r>
      <w:r w:rsidR="00F85176" w:rsidRPr="0008769C">
        <w:rPr>
          <w:rFonts w:asciiTheme="minorHAnsi" w:hAnsiTheme="minorHAnsi"/>
          <w:color w:val="auto"/>
          <w:sz w:val="22"/>
          <w:szCs w:val="22"/>
        </w:rPr>
        <w:t>.</w:t>
      </w:r>
      <w:r w:rsidR="004D2623" w:rsidRPr="0008769C">
        <w:rPr>
          <w:rFonts w:asciiTheme="minorHAnsi" w:hAnsiTheme="minorHAnsi"/>
          <w:b/>
          <w:color w:val="auto"/>
          <w:sz w:val="22"/>
          <w:szCs w:val="22"/>
          <w:highlight w:val="magenta"/>
        </w:rPr>
        <w:t xml:space="preserve"> </w:t>
      </w:r>
    </w:p>
    <w:p w14:paraId="0E809380" w14:textId="77777777" w:rsidR="00142060" w:rsidRDefault="00142060" w:rsidP="00732E64">
      <w:pPr>
        <w:pStyle w:val="Heading2"/>
        <w:spacing w:after="120" w:line="240" w:lineRule="auto"/>
      </w:pPr>
      <w:bookmarkStart w:id="44" w:name="_Toc468884928"/>
      <w:r>
        <w:t>KPI Expectations</w:t>
      </w:r>
      <w:bookmarkEnd w:id="44"/>
    </w:p>
    <w:p w14:paraId="75A73FD5" w14:textId="3CE84077" w:rsidR="00142060" w:rsidRPr="00FF2FAE" w:rsidRDefault="00BD137C" w:rsidP="00FE0E8B">
      <w:pPr>
        <w:spacing w:line="240" w:lineRule="auto"/>
      </w:pPr>
      <w:r>
        <w:t xml:space="preserve">Information is only requested from regulated entities where it is required to achieve the regulatory </w:t>
      </w:r>
      <w:r w:rsidR="00C31610">
        <w:t>objectives</w:t>
      </w:r>
      <w:r>
        <w:t>.</w:t>
      </w:r>
      <w:r w:rsidR="000829A5">
        <w:t xml:space="preserve"> Monitoring and inspection approaches are risk based and considers circumstances and operational needs of the regulated entity.</w:t>
      </w:r>
    </w:p>
    <w:p w14:paraId="2C48C045" w14:textId="4249E075" w:rsidR="00142060" w:rsidRDefault="00C31610" w:rsidP="00732E64">
      <w:pPr>
        <w:pStyle w:val="Heading2"/>
        <w:spacing w:after="120" w:line="240" w:lineRule="auto"/>
      </w:pPr>
      <w:bookmarkStart w:id="45" w:name="_Toc468884929"/>
      <w:r>
        <w:t>NOPTA’s Approach</w:t>
      </w:r>
      <w:bookmarkEnd w:id="45"/>
      <w:r w:rsidR="00142060" w:rsidRPr="00686DDC">
        <w:t xml:space="preserve"> </w:t>
      </w:r>
    </w:p>
    <w:p w14:paraId="3210EF0F" w14:textId="6D1B61DB" w:rsidR="00F85176" w:rsidRPr="007903BF" w:rsidRDefault="00FE62B1" w:rsidP="00732E64">
      <w:pPr>
        <w:pStyle w:val="CommentText"/>
        <w:rPr>
          <w:sz w:val="22"/>
          <w:szCs w:val="22"/>
        </w:rPr>
      </w:pPr>
      <w:r w:rsidRPr="007903BF">
        <w:rPr>
          <w:sz w:val="22"/>
          <w:szCs w:val="22"/>
        </w:rPr>
        <w:t xml:space="preserve">NOPTA’s compliance and monitoring approaches are continuously improving as a result of feedback, government policy initiatives and external reviews. This includes the maturation of NOPTA’s regulatory approach since its establishment in January 2012, various recommendations from reviews and stakeholder surveys and the implementation of the </w:t>
      </w:r>
      <w:r w:rsidR="00AB3BEA">
        <w:rPr>
          <w:sz w:val="22"/>
          <w:szCs w:val="22"/>
        </w:rPr>
        <w:t>RPF</w:t>
      </w:r>
      <w:r w:rsidRPr="007903BF">
        <w:rPr>
          <w:sz w:val="22"/>
          <w:szCs w:val="22"/>
        </w:rPr>
        <w:t xml:space="preserve"> into the 2015-17 Corporate Plan.  NOPTA has fostered collaborative and consultative relationships with its stakeholders that has resulted in a shared understanding of how compliance underpins NOPTA’s regulatory, advice and resource management functions. </w:t>
      </w:r>
      <w:r w:rsidR="00F85176" w:rsidRPr="007903BF">
        <w:rPr>
          <w:sz w:val="22"/>
          <w:szCs w:val="22"/>
        </w:rPr>
        <w:t>NOPTA clearly recognises when new information is required or the information is already held by NOPTA.</w:t>
      </w:r>
    </w:p>
    <w:p w14:paraId="1F24BFBF" w14:textId="77777777" w:rsidR="00142060" w:rsidRDefault="00142060" w:rsidP="00732E64">
      <w:pPr>
        <w:pStyle w:val="Heading2"/>
        <w:spacing w:after="120" w:line="240" w:lineRule="auto"/>
      </w:pPr>
      <w:bookmarkStart w:id="46" w:name="_Toc468884930"/>
      <w:r>
        <w:t>Results</w:t>
      </w:r>
      <w:bookmarkEnd w:id="46"/>
    </w:p>
    <w:p w14:paraId="0C0D6E27" w14:textId="1E8328A1" w:rsidR="00FE62B1" w:rsidRDefault="005968DD" w:rsidP="00C267D5">
      <w:pPr>
        <w:pStyle w:val="Heading3"/>
      </w:pPr>
      <w:r w:rsidRPr="006971ED">
        <w:t xml:space="preserve">Consolidating and sharing </w:t>
      </w:r>
      <w:r w:rsidR="006971ED" w:rsidRPr="006971ED">
        <w:t>data</w:t>
      </w:r>
    </w:p>
    <w:p w14:paraId="7A4AFDF5" w14:textId="08135E98" w:rsidR="00816450" w:rsidRDefault="00816450" w:rsidP="00732E64">
      <w:pPr>
        <w:spacing w:line="240" w:lineRule="auto"/>
      </w:pPr>
      <w:r>
        <w:t xml:space="preserve">The NOPIMS </w:t>
      </w:r>
      <w:r w:rsidR="00D16595">
        <w:t>initiative</w:t>
      </w:r>
      <w:r>
        <w:t xml:space="preserve"> was promoted and populated during 2015-16.  It now includes a range of publically available wells</w:t>
      </w:r>
      <w:r w:rsidR="00D16595">
        <w:t>, survey</w:t>
      </w:r>
      <w:r>
        <w:t xml:space="preserve"> data and reports. Integration of the digital data collection into NOPIMS continues </w:t>
      </w:r>
      <w:r w:rsidR="00D16595">
        <w:t>and</w:t>
      </w:r>
      <w:r>
        <w:t xml:space="preserve"> is now approximately 90</w:t>
      </w:r>
      <w:r w:rsidR="00D16595">
        <w:t xml:space="preserve"> per cent</w:t>
      </w:r>
      <w:r>
        <w:t xml:space="preserve"> complete.</w:t>
      </w:r>
    </w:p>
    <w:p w14:paraId="6AD732EF" w14:textId="46C58FAC" w:rsidR="005968DD" w:rsidRPr="000046D7" w:rsidRDefault="00D16595" w:rsidP="00732E64">
      <w:pPr>
        <w:spacing w:line="240" w:lineRule="auto"/>
      </w:pPr>
      <w:r>
        <w:t xml:space="preserve">The NOPDIP project started in 2015-16.  </w:t>
      </w:r>
      <w:r w:rsidR="005968DD">
        <w:t>NOPTA and Geoscience Australia</w:t>
      </w:r>
      <w:r w:rsidR="006971ED">
        <w:t xml:space="preserve"> are also managing the project. Its aim is</w:t>
      </w:r>
      <w:r w:rsidR="005968DD">
        <w:t xml:space="preserve"> to ensure the remaining hard copy legacy data collections of the former State and Territory Authorities are quality checked, digitised and made available through NOPIMS. Given the appreciable volume of materials involved, this activity is projected to continue until 2019.</w:t>
      </w:r>
    </w:p>
    <w:p w14:paraId="7DE071C4" w14:textId="2EB5306E" w:rsidR="00FE62B1" w:rsidRPr="00FE62B1" w:rsidRDefault="00640668" w:rsidP="00732E64">
      <w:pPr>
        <w:spacing w:line="240" w:lineRule="auto"/>
      </w:pPr>
      <w:r w:rsidRPr="00FE0E8B">
        <w:t>NOPTA is providing geospatial services to NOPSEMA</w:t>
      </w:r>
      <w:r w:rsidR="00101973" w:rsidRPr="00FE0E8B">
        <w:t xml:space="preserve"> to assist in their work requirements.</w:t>
      </w:r>
      <w:r w:rsidRPr="00FE0E8B">
        <w:t xml:space="preserve"> NOPTA is </w:t>
      </w:r>
      <w:r w:rsidR="00F43B34">
        <w:t>working</w:t>
      </w:r>
      <w:r w:rsidR="00101973" w:rsidRPr="00FE0E8B">
        <w:t xml:space="preserve"> </w:t>
      </w:r>
      <w:r w:rsidRPr="00FE0E8B">
        <w:t xml:space="preserve">with </w:t>
      </w:r>
      <w:r w:rsidR="00FE62B1" w:rsidRPr="00FE0E8B">
        <w:t>Geoscience Australia</w:t>
      </w:r>
      <w:r w:rsidRPr="00101973">
        <w:t xml:space="preserve"> and </w:t>
      </w:r>
      <w:r w:rsidR="00C91FF3">
        <w:t xml:space="preserve">the Western Australian </w:t>
      </w:r>
      <w:r w:rsidRPr="00101973">
        <w:t xml:space="preserve">Department of Mineral and Petroleum to streamline the provision of spatial data and coordinate delivery of </w:t>
      </w:r>
      <w:r w:rsidR="00101973" w:rsidRPr="00101973">
        <w:t xml:space="preserve">spatial </w:t>
      </w:r>
      <w:r w:rsidRPr="00101973">
        <w:t xml:space="preserve">data to external </w:t>
      </w:r>
      <w:r w:rsidR="00C91FF3">
        <w:t>stakeholders</w:t>
      </w:r>
      <w:r w:rsidR="00FE62B1" w:rsidRPr="000046D7">
        <w:t>.</w:t>
      </w:r>
      <w:r w:rsidR="00FE62B1">
        <w:t xml:space="preserve"> </w:t>
      </w:r>
      <w:r w:rsidR="00FE62B1" w:rsidRPr="00FE62B1">
        <w:t xml:space="preserve"> </w:t>
      </w:r>
    </w:p>
    <w:p w14:paraId="6B740B18" w14:textId="760ACBC4" w:rsidR="004046D8" w:rsidRPr="00A37C75" w:rsidRDefault="00C31610" w:rsidP="00C267D5">
      <w:pPr>
        <w:pStyle w:val="Heading3"/>
      </w:pPr>
      <w:r>
        <w:t>Improving compliance reporting</w:t>
      </w:r>
    </w:p>
    <w:p w14:paraId="3CEB1BF7" w14:textId="4E85FB21" w:rsidR="006971ED" w:rsidRDefault="006971ED" w:rsidP="006971ED">
      <w:pPr>
        <w:spacing w:line="240" w:lineRule="auto"/>
      </w:pPr>
      <w:r>
        <w:t>NOPTA is enhancing how compliance issues are managed internally to ensure a more coordinated, streamlined and robust decision and advice process. Initiatives in this are</w:t>
      </w:r>
      <w:r w:rsidRPr="00964E3F">
        <w:t xml:space="preserve">a includes the development of a SharePoint based compliance register that enables NOPTA staff to identify compliance issues that can be </w:t>
      </w:r>
      <w:r>
        <w:t>managed</w:t>
      </w:r>
      <w:r w:rsidRPr="00964E3F">
        <w:t xml:space="preserve"> through to a resolution.</w:t>
      </w:r>
      <w:r>
        <w:t xml:space="preserve">  </w:t>
      </w:r>
    </w:p>
    <w:p w14:paraId="5DDA7E85" w14:textId="53BA3537" w:rsidR="004046D8" w:rsidRDefault="004046D8" w:rsidP="00732E64">
      <w:pPr>
        <w:spacing w:line="240" w:lineRule="auto"/>
      </w:pPr>
      <w:r>
        <w:t>As discussed under K</w:t>
      </w:r>
      <w:r w:rsidR="00CE2EB4">
        <w:t>PI</w:t>
      </w:r>
      <w:r>
        <w:t xml:space="preserve"> 1, NOPTA introduced </w:t>
      </w:r>
      <w:r w:rsidRPr="00A37C75">
        <w:t xml:space="preserve">model templates for ATARs in December 2015 to improve the consistency in reporting under </w:t>
      </w:r>
      <w:r>
        <w:t>the Regulations</w:t>
      </w:r>
      <w:r w:rsidRPr="00A37C75">
        <w:t xml:space="preserve"> and to clarify expectations.</w:t>
      </w:r>
      <w:r>
        <w:t xml:space="preserve">  This initiative includes the implementation of </w:t>
      </w:r>
      <w:r w:rsidRPr="00A37C75">
        <w:t xml:space="preserve">standardised tables to report resources and reserves </w:t>
      </w:r>
      <w:r w:rsidRPr="00A37C75">
        <w:lastRenderedPageBreak/>
        <w:t>consistent with the Society of Petroleum Engineers Petroleum Resource Management System (SPE-PRMS).</w:t>
      </w:r>
      <w:r>
        <w:t xml:space="preserve">  </w:t>
      </w:r>
    </w:p>
    <w:p w14:paraId="5FDCD5EE" w14:textId="2341CED4" w:rsidR="00142060" w:rsidRDefault="00142060" w:rsidP="006971ED">
      <w:pPr>
        <w:pStyle w:val="Heading2"/>
        <w:spacing w:after="120" w:line="240" w:lineRule="auto"/>
      </w:pPr>
      <w:bookmarkStart w:id="47" w:name="_Toc468884931"/>
      <w:r>
        <w:t>Stakeholder comments</w:t>
      </w:r>
      <w:bookmarkEnd w:id="47"/>
    </w:p>
    <w:p w14:paraId="1506A298" w14:textId="77777777" w:rsidR="004046D8" w:rsidRPr="00853F1C" w:rsidRDefault="004046D8" w:rsidP="00732E64">
      <w:pPr>
        <w:spacing w:line="240" w:lineRule="auto"/>
      </w:pPr>
      <w:r w:rsidRPr="00853F1C">
        <w:t>The 2016 Stakeholder Survey</w:t>
      </w:r>
      <w:r>
        <w:t xml:space="preserve"> highlights that 93 per cent of titleholders consider the time and effort they spend on compliance as reasonable to a great extent or to some extent, given the regulatory risk NOPTA manages.  This result supports the view that titleholder regulatory burden is reasonable.</w:t>
      </w:r>
    </w:p>
    <w:p w14:paraId="030878D8" w14:textId="77777777" w:rsidR="00941577" w:rsidRDefault="00941577">
      <w:pPr>
        <w:rPr>
          <w:rFonts w:asciiTheme="majorHAnsi" w:eastAsiaTheme="majorEastAsia" w:hAnsiTheme="majorHAnsi" w:cstheme="majorBidi"/>
          <w:b/>
          <w:color w:val="2E74B5" w:themeColor="accent1" w:themeShade="BF"/>
          <w:sz w:val="26"/>
          <w:szCs w:val="26"/>
        </w:rPr>
      </w:pPr>
      <w:r>
        <w:rPr>
          <w:b/>
        </w:rPr>
        <w:br w:type="page"/>
      </w:r>
    </w:p>
    <w:p w14:paraId="722E7FF3" w14:textId="4F978650" w:rsidR="00796AA0" w:rsidRPr="006971ED" w:rsidRDefault="00823B49" w:rsidP="006971ED">
      <w:pPr>
        <w:pStyle w:val="Heading2"/>
        <w:spacing w:line="240" w:lineRule="auto"/>
        <w:rPr>
          <w:b/>
        </w:rPr>
      </w:pPr>
      <w:bookmarkStart w:id="48" w:name="_Toc468884932"/>
      <w:r w:rsidRPr="006971ED">
        <w:rPr>
          <w:b/>
        </w:rPr>
        <w:lastRenderedPageBreak/>
        <w:t>KP</w:t>
      </w:r>
      <w:r w:rsidR="00796AA0" w:rsidRPr="006971ED">
        <w:rPr>
          <w:b/>
        </w:rPr>
        <w:t>I 5</w:t>
      </w:r>
      <w:r w:rsidR="00C720F1" w:rsidRPr="006971ED">
        <w:rPr>
          <w:b/>
        </w:rPr>
        <w:t>:</w:t>
      </w:r>
      <w:r w:rsidR="00935652" w:rsidRPr="006971ED">
        <w:rPr>
          <w:b/>
        </w:rPr>
        <w:t xml:space="preserve"> Regulators are </w:t>
      </w:r>
      <w:r w:rsidR="00796AA0" w:rsidRPr="006971ED">
        <w:rPr>
          <w:b/>
        </w:rPr>
        <w:t xml:space="preserve">open and transparent in </w:t>
      </w:r>
      <w:r w:rsidR="00935652" w:rsidRPr="006971ED">
        <w:rPr>
          <w:b/>
        </w:rPr>
        <w:t>their</w:t>
      </w:r>
      <w:r w:rsidR="00796AA0" w:rsidRPr="006971ED">
        <w:rPr>
          <w:b/>
        </w:rPr>
        <w:t xml:space="preserve"> dealings with </w:t>
      </w:r>
      <w:r w:rsidR="00935652" w:rsidRPr="006971ED">
        <w:rPr>
          <w:b/>
        </w:rPr>
        <w:t>regulated entities</w:t>
      </w:r>
      <w:bookmarkEnd w:id="48"/>
    </w:p>
    <w:p w14:paraId="3607F99B" w14:textId="10B5A3DB" w:rsidR="00142060" w:rsidRDefault="00142060" w:rsidP="00732E64">
      <w:pPr>
        <w:pStyle w:val="Heading2"/>
        <w:spacing w:after="120" w:line="240" w:lineRule="auto"/>
      </w:pPr>
      <w:bookmarkStart w:id="49" w:name="_Toc468884933"/>
      <w:r>
        <w:t>Summary</w:t>
      </w:r>
      <w:bookmarkEnd w:id="49"/>
    </w:p>
    <w:p w14:paraId="248E503B" w14:textId="6C7145F3" w:rsidR="00C31610" w:rsidRPr="004F5504" w:rsidRDefault="004F5504" w:rsidP="00732E64">
      <w:pPr>
        <w:pStyle w:val="ListParagraph"/>
        <w:numPr>
          <w:ilvl w:val="0"/>
          <w:numId w:val="30"/>
        </w:numPr>
        <w:spacing w:after="120"/>
        <w:contextualSpacing w:val="0"/>
        <w:rPr>
          <w:rFonts w:asciiTheme="minorHAnsi" w:hAnsiTheme="minorHAnsi"/>
          <w:color w:val="auto"/>
          <w:sz w:val="22"/>
          <w:szCs w:val="22"/>
        </w:rPr>
      </w:pPr>
      <w:r>
        <w:rPr>
          <w:rFonts w:asciiTheme="minorHAnsi" w:hAnsiTheme="minorHAnsi"/>
          <w:color w:val="auto"/>
          <w:sz w:val="22"/>
          <w:szCs w:val="22"/>
        </w:rPr>
        <w:t>NOPTA published the ‘Operating Protocols for Offshore Petroleum Joint Authorities and supporting institutions’ (</w:t>
      </w:r>
      <w:r w:rsidRPr="004F5504">
        <w:rPr>
          <w:rFonts w:asciiTheme="minorHAnsi" w:hAnsiTheme="minorHAnsi"/>
          <w:color w:val="auto"/>
          <w:sz w:val="22"/>
          <w:szCs w:val="22"/>
        </w:rPr>
        <w:t>Joint Authority</w:t>
      </w:r>
      <w:r w:rsidR="00DB2AA1" w:rsidRPr="004F5504">
        <w:rPr>
          <w:rFonts w:asciiTheme="minorHAnsi" w:hAnsiTheme="minorHAnsi"/>
          <w:color w:val="auto"/>
          <w:sz w:val="22"/>
          <w:szCs w:val="22"/>
        </w:rPr>
        <w:t xml:space="preserve"> Protocol</w:t>
      </w:r>
      <w:r>
        <w:rPr>
          <w:rFonts w:asciiTheme="minorHAnsi" w:hAnsiTheme="minorHAnsi"/>
          <w:color w:val="auto"/>
          <w:sz w:val="22"/>
          <w:szCs w:val="22"/>
        </w:rPr>
        <w:t xml:space="preserve">) on its website </w:t>
      </w:r>
      <w:r w:rsidR="00720699">
        <w:rPr>
          <w:rFonts w:asciiTheme="minorHAnsi" w:hAnsiTheme="minorHAnsi"/>
          <w:color w:val="auto"/>
          <w:sz w:val="22"/>
          <w:szCs w:val="22"/>
        </w:rPr>
        <w:t>on</w:t>
      </w:r>
      <w:r>
        <w:rPr>
          <w:rFonts w:asciiTheme="minorHAnsi" w:hAnsiTheme="minorHAnsi"/>
          <w:color w:val="auto"/>
          <w:sz w:val="22"/>
          <w:szCs w:val="22"/>
        </w:rPr>
        <w:t xml:space="preserve"> </w:t>
      </w:r>
      <w:r w:rsidR="00BC6354">
        <w:rPr>
          <w:rFonts w:asciiTheme="minorHAnsi" w:hAnsiTheme="minorHAnsi"/>
          <w:color w:val="auto"/>
          <w:sz w:val="22"/>
          <w:szCs w:val="22"/>
        </w:rPr>
        <w:t>3 May 2016</w:t>
      </w:r>
      <w:r>
        <w:rPr>
          <w:rFonts w:asciiTheme="minorHAnsi" w:hAnsiTheme="minorHAnsi"/>
          <w:color w:val="auto"/>
          <w:sz w:val="22"/>
          <w:szCs w:val="22"/>
        </w:rPr>
        <w:t>.</w:t>
      </w:r>
    </w:p>
    <w:p w14:paraId="71E378CF" w14:textId="0DA64340" w:rsidR="00DB2AA1" w:rsidRDefault="00526302" w:rsidP="00732E64">
      <w:pPr>
        <w:pStyle w:val="ListParagraph"/>
        <w:numPr>
          <w:ilvl w:val="0"/>
          <w:numId w:val="30"/>
        </w:numPr>
        <w:spacing w:after="120"/>
        <w:contextualSpacing w:val="0"/>
        <w:rPr>
          <w:rFonts w:asciiTheme="minorHAnsi" w:hAnsiTheme="minorHAnsi"/>
          <w:color w:val="auto"/>
          <w:sz w:val="22"/>
          <w:szCs w:val="22"/>
        </w:rPr>
      </w:pPr>
      <w:r>
        <w:rPr>
          <w:rFonts w:asciiTheme="minorHAnsi" w:hAnsiTheme="minorHAnsi"/>
          <w:color w:val="auto"/>
          <w:sz w:val="22"/>
          <w:szCs w:val="22"/>
        </w:rPr>
        <w:t>NOPTA’s inaugural 2015-17 Corporate Plan includes the six RPF KPIs.</w:t>
      </w:r>
    </w:p>
    <w:p w14:paraId="32156D06" w14:textId="49F0B018" w:rsidR="00526302" w:rsidRPr="00DB2AA1" w:rsidRDefault="00526302" w:rsidP="00732E64">
      <w:pPr>
        <w:pStyle w:val="ListParagraph"/>
        <w:numPr>
          <w:ilvl w:val="0"/>
          <w:numId w:val="30"/>
        </w:numPr>
        <w:spacing w:after="120"/>
        <w:contextualSpacing w:val="0"/>
        <w:rPr>
          <w:rFonts w:asciiTheme="minorHAnsi" w:hAnsiTheme="minorHAnsi"/>
          <w:color w:val="auto"/>
          <w:sz w:val="22"/>
          <w:szCs w:val="22"/>
        </w:rPr>
      </w:pPr>
      <w:r>
        <w:rPr>
          <w:rFonts w:asciiTheme="minorHAnsi" w:hAnsiTheme="minorHAnsi"/>
          <w:color w:val="auto"/>
          <w:sz w:val="22"/>
          <w:szCs w:val="22"/>
        </w:rPr>
        <w:t xml:space="preserve">Over 95 per cent </w:t>
      </w:r>
      <w:r w:rsidRPr="00526302">
        <w:rPr>
          <w:rFonts w:asciiTheme="minorHAnsi" w:hAnsiTheme="minorHAnsi"/>
          <w:color w:val="auto"/>
          <w:sz w:val="22"/>
          <w:szCs w:val="22"/>
        </w:rPr>
        <w:t>of the 2016 stakeholder survey respondents consider NOPTA open and transparent in its dealings, publicly accountable in publishing performance results and collaborative in its approach.</w:t>
      </w:r>
    </w:p>
    <w:p w14:paraId="684E87B3" w14:textId="77777777" w:rsidR="00142060" w:rsidRDefault="00142060" w:rsidP="00732E64">
      <w:pPr>
        <w:pStyle w:val="Heading2"/>
        <w:spacing w:before="240" w:after="120" w:line="240" w:lineRule="auto"/>
      </w:pPr>
      <w:bookmarkStart w:id="50" w:name="_Toc468884934"/>
      <w:r>
        <w:t>KPI Expectations</w:t>
      </w:r>
      <w:bookmarkEnd w:id="50"/>
    </w:p>
    <w:p w14:paraId="27B8C50E" w14:textId="3E64FC80" w:rsidR="00142060" w:rsidRPr="00FF2FAE" w:rsidRDefault="00954810" w:rsidP="00FE0E8B">
      <w:pPr>
        <w:spacing w:line="240" w:lineRule="auto"/>
      </w:pPr>
      <w:r>
        <w:t>Where possible, regulators clearly communicate the evidence base and approach used in decision-making process</w:t>
      </w:r>
      <w:r w:rsidR="0013795D">
        <w:t>es</w:t>
      </w:r>
      <w:r>
        <w:t xml:space="preserve">. </w:t>
      </w:r>
      <w:r w:rsidR="00DB2AA1">
        <w:t xml:space="preserve"> Transparency provides </w:t>
      </w:r>
      <w:r>
        <w:t xml:space="preserve">the regulated entity and broader community </w:t>
      </w:r>
      <w:r w:rsidR="00DB2AA1">
        <w:t>with</w:t>
      </w:r>
      <w:r>
        <w:t xml:space="preserve"> greater </w:t>
      </w:r>
      <w:r w:rsidR="00B961F9">
        <w:t xml:space="preserve">confidence and </w:t>
      </w:r>
      <w:r>
        <w:t xml:space="preserve">understanding </w:t>
      </w:r>
      <w:r w:rsidR="00B961F9">
        <w:t>of</w:t>
      </w:r>
      <w:r w:rsidR="00DB2AA1">
        <w:t xml:space="preserve"> </w:t>
      </w:r>
      <w:r>
        <w:t>the regulator’s role.</w:t>
      </w:r>
    </w:p>
    <w:p w14:paraId="766C7A8E" w14:textId="1EAD5CF7" w:rsidR="00142060" w:rsidRDefault="00C31610" w:rsidP="00732E64">
      <w:pPr>
        <w:pStyle w:val="Heading2"/>
        <w:spacing w:before="240" w:after="120" w:line="240" w:lineRule="auto"/>
      </w:pPr>
      <w:bookmarkStart w:id="51" w:name="_Toc468884935"/>
      <w:r>
        <w:t>NOPTA’s Approach</w:t>
      </w:r>
      <w:bookmarkEnd w:id="51"/>
      <w:r w:rsidR="00142060" w:rsidRPr="00686DDC">
        <w:t xml:space="preserve"> </w:t>
      </w:r>
    </w:p>
    <w:p w14:paraId="536515CA" w14:textId="77777777" w:rsidR="00C31610" w:rsidRDefault="00C31610" w:rsidP="00732E64">
      <w:pPr>
        <w:spacing w:line="240" w:lineRule="auto"/>
      </w:pPr>
      <w:r w:rsidRPr="00A37C75">
        <w:t xml:space="preserve">NOPTA undertakes a variety of title administration functions that includes </w:t>
      </w:r>
      <w:r>
        <w:t>processing title applications, providing advice to the Joint Authority, making (limited) decisions, monitoring compliance, enforcing</w:t>
      </w:r>
      <w:r w:rsidRPr="00A37C75">
        <w:t xml:space="preserve"> legislative </w:t>
      </w:r>
      <w:r>
        <w:t xml:space="preserve">requirements, developing guidelines and fact sheets and </w:t>
      </w:r>
      <w:r w:rsidRPr="00A37C75">
        <w:t xml:space="preserve">identifying </w:t>
      </w:r>
      <w:r>
        <w:t xml:space="preserve">potential policy, legislative or administrative improvements. </w:t>
      </w:r>
    </w:p>
    <w:p w14:paraId="6801D8F2" w14:textId="77777777" w:rsidR="00C31610" w:rsidRDefault="00C31610" w:rsidP="00732E64">
      <w:pPr>
        <w:spacing w:line="240" w:lineRule="auto"/>
      </w:pPr>
      <w:r>
        <w:t xml:space="preserve">For each of these functions NOPTA ensures that is open and transparent in its dealings.  This is achieved through regular communication, consultation and a ‘no surprises’ approach in discharging its regulatory and administrative functions.  NOPTA regularly engages in face-to-face meetings with titleholders to discuss issues in detail to ensure a shared understanding.  </w:t>
      </w:r>
    </w:p>
    <w:p w14:paraId="04BDBFF5" w14:textId="29ECB1B4" w:rsidR="00B318F2" w:rsidRDefault="00C31610" w:rsidP="00732E64">
      <w:pPr>
        <w:spacing w:line="240" w:lineRule="auto"/>
      </w:pPr>
      <w:r>
        <w:t>This shared understanding with titleholders enables NOPTA to set realistic expectations on timeframes and information required, provide clarity to questions of process and provide informal feedback on future applications where appropriate.</w:t>
      </w:r>
    </w:p>
    <w:p w14:paraId="24DF66B3" w14:textId="77777777" w:rsidR="00142060" w:rsidRDefault="00142060" w:rsidP="00732E64">
      <w:pPr>
        <w:pStyle w:val="Heading2"/>
        <w:spacing w:after="120" w:line="240" w:lineRule="auto"/>
      </w:pPr>
      <w:bookmarkStart w:id="52" w:name="_Toc468884936"/>
      <w:r>
        <w:t>Results</w:t>
      </w:r>
      <w:bookmarkEnd w:id="52"/>
    </w:p>
    <w:p w14:paraId="3D99B8A7" w14:textId="0A766EDC" w:rsidR="00E54F02" w:rsidRDefault="00E54F02" w:rsidP="00732E64">
      <w:pPr>
        <w:spacing w:line="240" w:lineRule="auto"/>
      </w:pPr>
      <w:r w:rsidRPr="0008769C">
        <w:t xml:space="preserve">A core function of NOPTA is </w:t>
      </w:r>
      <w:r w:rsidR="004438C6" w:rsidRPr="0008769C">
        <w:t xml:space="preserve">maintaining </w:t>
      </w:r>
      <w:r w:rsidRPr="0008769C">
        <w:t>the Titles Register</w:t>
      </w:r>
      <w:r w:rsidR="00F85176" w:rsidRPr="0008769C">
        <w:t>. NEAT</w:t>
      </w:r>
      <w:r w:rsidR="00C131E0">
        <w:t>S</w:t>
      </w:r>
      <w:r w:rsidR="00F85176" w:rsidRPr="0008769C">
        <w:t xml:space="preserve"> assists as an electronic resource</w:t>
      </w:r>
      <w:r w:rsidR="006971ED">
        <w:t>, however it is not the official register</w:t>
      </w:r>
      <w:r w:rsidR="00F85176" w:rsidRPr="0008769C">
        <w:t xml:space="preserve">. NOPTA makes sure the register is accurate and up to date for all users. </w:t>
      </w:r>
      <w:r w:rsidR="000E444F">
        <w:t xml:space="preserve"> </w:t>
      </w:r>
      <w:r w:rsidR="000E444F" w:rsidRPr="0008769C">
        <w:t>NEAT</w:t>
      </w:r>
      <w:r w:rsidR="000E444F">
        <w:t>S</w:t>
      </w:r>
      <w:r w:rsidR="000E444F" w:rsidRPr="0008769C">
        <w:t xml:space="preserve"> </w:t>
      </w:r>
      <w:r w:rsidR="00F85176" w:rsidRPr="0008769C">
        <w:t>also provides an approval</w:t>
      </w:r>
      <w:r w:rsidR="004D4DB1">
        <w:t>s</w:t>
      </w:r>
      <w:r w:rsidR="00F85176" w:rsidRPr="0008769C">
        <w:t xml:space="preserve"> tracking system which allows titleholders to following their applications</w:t>
      </w:r>
      <w:r w:rsidR="00F85176">
        <w:t xml:space="preserve"> progress, either through a private industry portal or a limited amount of public information.</w:t>
      </w:r>
    </w:p>
    <w:p w14:paraId="56DC9A9E" w14:textId="09677939" w:rsidR="00720699" w:rsidRDefault="00F85176" w:rsidP="00732E64">
      <w:pPr>
        <w:spacing w:line="240" w:lineRule="auto"/>
      </w:pPr>
      <w:r>
        <w:t xml:space="preserve">Titleholders </w:t>
      </w:r>
      <w:r w:rsidR="004D4DB1">
        <w:t xml:space="preserve">are </w:t>
      </w:r>
      <w:r>
        <w:t>able to use the approvals tracking system along the with the indicative t</w:t>
      </w:r>
      <w:r w:rsidR="00720699" w:rsidRPr="00720699">
        <w:t>imeframes for title decisions</w:t>
      </w:r>
      <w:r w:rsidRPr="00F85176">
        <w:t xml:space="preserve"> </w:t>
      </w:r>
      <w:r>
        <w:t xml:space="preserve">and </w:t>
      </w:r>
      <w:r w:rsidRPr="00720699">
        <w:t>for NOPTA assessment and Joint Authority decisions</w:t>
      </w:r>
      <w:r>
        <w:t xml:space="preserve">, as </w:t>
      </w:r>
      <w:r w:rsidR="00720699" w:rsidRPr="00720699">
        <w:t xml:space="preserve">specified in </w:t>
      </w:r>
      <w:r w:rsidR="00720699">
        <w:t>the</w:t>
      </w:r>
      <w:r w:rsidR="00720699" w:rsidRPr="00720699">
        <w:t xml:space="preserve"> </w:t>
      </w:r>
      <w:r w:rsidR="00720699" w:rsidRPr="004F5504">
        <w:t>Joint Authority Protocol</w:t>
      </w:r>
      <w:r w:rsidR="00720699">
        <w:t xml:space="preserve"> </w:t>
      </w:r>
      <w:r>
        <w:t>to assist with their future planning.</w:t>
      </w:r>
      <w:r w:rsidR="00720699" w:rsidRPr="00720699">
        <w:t xml:space="preserve"> </w:t>
      </w:r>
    </w:p>
    <w:p w14:paraId="728CFCB9" w14:textId="7C879D59" w:rsidR="00CB314A" w:rsidRDefault="00CB314A" w:rsidP="00732E64">
      <w:pPr>
        <w:spacing w:line="240" w:lineRule="auto"/>
      </w:pPr>
      <w:r w:rsidRPr="006971ED">
        <w:t>The 2015-17 Corporate Plan highlights NOPTA’s vision, purpose and culture as well as detailing functions and indicators of success.  It includes NOPTA’s key achievements for 2012-14, key risks and the six RPF KPIs</w:t>
      </w:r>
      <w:r w:rsidR="000B4EAC" w:rsidRPr="006971ED">
        <w:t xml:space="preserve">. </w:t>
      </w:r>
      <w:r w:rsidR="00242A79" w:rsidRPr="006971ED">
        <w:t>NOPTA will refresh its corporate plan in mid-2017 with a revised corporate plan for the 2018-20 period. This may include reviewing</w:t>
      </w:r>
      <w:r w:rsidR="00242A79">
        <w:t xml:space="preserve"> NOPTA’s achievements against the current plan and identifying opportunities for improvement. </w:t>
      </w:r>
      <w:r w:rsidR="000B4EAC" w:rsidRPr="00FE0E8B">
        <w:rPr>
          <w:highlight w:val="green"/>
        </w:rPr>
        <w:t xml:space="preserve"> </w:t>
      </w:r>
    </w:p>
    <w:p w14:paraId="2973ADC1" w14:textId="77777777" w:rsidR="00142060" w:rsidRDefault="00142060" w:rsidP="00732E64">
      <w:pPr>
        <w:pStyle w:val="Heading2"/>
        <w:spacing w:before="240" w:after="120" w:line="240" w:lineRule="auto"/>
      </w:pPr>
      <w:bookmarkStart w:id="53" w:name="_Toc468884937"/>
      <w:r>
        <w:t>Stakeholder comments</w:t>
      </w:r>
      <w:bookmarkEnd w:id="53"/>
    </w:p>
    <w:p w14:paraId="14BFB083" w14:textId="29E72C67" w:rsidR="00C44676" w:rsidRPr="00544372" w:rsidRDefault="00330864" w:rsidP="00732E64">
      <w:pPr>
        <w:spacing w:line="240" w:lineRule="auto"/>
      </w:pPr>
      <w:r>
        <w:t>An overwhelming majority of the 2016 stakeholder survey respondents consider NOPTA open and transparent in its dealings</w:t>
      </w:r>
      <w:r w:rsidR="00575C16">
        <w:t>, publicly accountable in publishing performance results</w:t>
      </w:r>
      <w:r>
        <w:t xml:space="preserve"> and collaborative </w:t>
      </w:r>
      <w:r>
        <w:lastRenderedPageBreak/>
        <w:t>in its approach.</w:t>
      </w:r>
      <w:r>
        <w:rPr>
          <w:rStyle w:val="FootnoteReference"/>
        </w:rPr>
        <w:footnoteReference w:id="25"/>
      </w:r>
      <w:r>
        <w:t xml:space="preserve"> </w:t>
      </w:r>
      <w:r w:rsidR="00C44676">
        <w:t>Titleholder respondents also considered Title Administrator decisions to be transparent, justified and consistent.</w:t>
      </w:r>
      <w:r w:rsidR="00C44676">
        <w:rPr>
          <w:rStyle w:val="FootnoteReference"/>
        </w:rPr>
        <w:footnoteReference w:id="26"/>
      </w:r>
      <w:r w:rsidR="00C44676">
        <w:t xml:space="preserve">  </w:t>
      </w:r>
    </w:p>
    <w:p w14:paraId="7F26445B" w14:textId="6D7E10BF" w:rsidR="00D6191B" w:rsidRDefault="00575C16" w:rsidP="00732E64">
      <w:pPr>
        <w:spacing w:line="240" w:lineRule="auto"/>
      </w:pPr>
      <w:r>
        <w:t>Importantly</w:t>
      </w:r>
      <w:r w:rsidR="00C44676">
        <w:t>,</w:t>
      </w:r>
      <w:r>
        <w:t xml:space="preserve"> 90 per cent of respondents considered NOPTA engaged stakeholders to streamline, clarify or improve reporting requirements. </w:t>
      </w:r>
      <w:r w:rsidR="00330864">
        <w:t xml:space="preserve"> </w:t>
      </w:r>
      <w:r>
        <w:t xml:space="preserve">The development of the model Annual Title Assessment Reports (ATARs) detailed at KPI 1 and 4 above is a recent example. </w:t>
      </w:r>
    </w:p>
    <w:p w14:paraId="3B5BB929" w14:textId="438B58AA" w:rsidR="00796AA0" w:rsidRDefault="0035041A" w:rsidP="00732E64">
      <w:pPr>
        <w:pStyle w:val="Heading2"/>
        <w:spacing w:line="240" w:lineRule="auto"/>
        <w:rPr>
          <w:b/>
        </w:rPr>
      </w:pPr>
      <w:r>
        <w:rPr>
          <w:b/>
        </w:rPr>
        <w:br w:type="page"/>
      </w:r>
      <w:bookmarkStart w:id="54" w:name="_Toc468884938"/>
      <w:r w:rsidR="00823B49">
        <w:rPr>
          <w:b/>
        </w:rPr>
        <w:lastRenderedPageBreak/>
        <w:t>KPI</w:t>
      </w:r>
      <w:r w:rsidR="00796AA0" w:rsidRPr="00A37C75">
        <w:rPr>
          <w:b/>
        </w:rPr>
        <w:t xml:space="preserve"> 6</w:t>
      </w:r>
      <w:r w:rsidR="00935652">
        <w:rPr>
          <w:b/>
        </w:rPr>
        <w:t>: Regulators</w:t>
      </w:r>
      <w:r w:rsidR="00796AA0" w:rsidRPr="00A37C75">
        <w:rPr>
          <w:b/>
        </w:rPr>
        <w:t xml:space="preserve"> actively contribute to the continuous improvement of regulatory frameworks</w:t>
      </w:r>
      <w:bookmarkEnd w:id="54"/>
      <w:r w:rsidR="00796AA0" w:rsidRPr="00A37C75">
        <w:rPr>
          <w:b/>
        </w:rPr>
        <w:t xml:space="preserve"> </w:t>
      </w:r>
    </w:p>
    <w:p w14:paraId="55DD9EF4" w14:textId="77777777" w:rsidR="00142060" w:rsidRDefault="00142060" w:rsidP="00732E64">
      <w:pPr>
        <w:pStyle w:val="Heading2"/>
        <w:spacing w:after="120" w:line="240" w:lineRule="auto"/>
      </w:pPr>
      <w:bookmarkStart w:id="55" w:name="_Toc468884939"/>
      <w:r>
        <w:t>Summary</w:t>
      </w:r>
      <w:bookmarkEnd w:id="55"/>
    </w:p>
    <w:p w14:paraId="0B945FAD" w14:textId="716A28BF" w:rsidR="00E11A2E" w:rsidRPr="0008769C" w:rsidRDefault="00F24391" w:rsidP="00732E64">
      <w:pPr>
        <w:pStyle w:val="ListParagraph"/>
        <w:numPr>
          <w:ilvl w:val="0"/>
          <w:numId w:val="31"/>
        </w:numPr>
        <w:spacing w:after="120"/>
        <w:ind w:left="714" w:hanging="357"/>
        <w:contextualSpacing w:val="0"/>
        <w:rPr>
          <w:color w:val="auto"/>
        </w:rPr>
      </w:pPr>
      <w:r w:rsidRPr="0008769C">
        <w:rPr>
          <w:rFonts w:asciiTheme="minorHAnsi" w:hAnsiTheme="minorHAnsi"/>
          <w:color w:val="auto"/>
          <w:sz w:val="22"/>
          <w:szCs w:val="22"/>
        </w:rPr>
        <w:t xml:space="preserve">NOPTA identified </w:t>
      </w:r>
      <w:r w:rsidR="00B075F9" w:rsidRPr="0008769C">
        <w:rPr>
          <w:rFonts w:asciiTheme="minorHAnsi" w:hAnsiTheme="minorHAnsi"/>
          <w:color w:val="auto"/>
          <w:sz w:val="22"/>
          <w:szCs w:val="22"/>
        </w:rPr>
        <w:t xml:space="preserve">and contributed to </w:t>
      </w:r>
      <w:r w:rsidR="00242A79">
        <w:rPr>
          <w:rFonts w:asciiTheme="minorHAnsi" w:hAnsiTheme="minorHAnsi"/>
          <w:color w:val="auto"/>
          <w:sz w:val="22"/>
          <w:szCs w:val="22"/>
        </w:rPr>
        <w:t xml:space="preserve">potential </w:t>
      </w:r>
      <w:r w:rsidRPr="0008769C">
        <w:rPr>
          <w:rFonts w:asciiTheme="minorHAnsi" w:hAnsiTheme="minorHAnsi"/>
          <w:color w:val="auto"/>
          <w:sz w:val="22"/>
          <w:szCs w:val="22"/>
        </w:rPr>
        <w:t xml:space="preserve">legislative </w:t>
      </w:r>
      <w:r w:rsidR="00242A79">
        <w:rPr>
          <w:rFonts w:asciiTheme="minorHAnsi" w:hAnsiTheme="minorHAnsi"/>
          <w:color w:val="auto"/>
          <w:sz w:val="22"/>
          <w:szCs w:val="22"/>
        </w:rPr>
        <w:t>improvements</w:t>
      </w:r>
      <w:r w:rsidRPr="0008769C">
        <w:rPr>
          <w:rFonts w:asciiTheme="minorHAnsi" w:hAnsiTheme="minorHAnsi"/>
          <w:color w:val="auto"/>
          <w:sz w:val="22"/>
          <w:szCs w:val="22"/>
        </w:rPr>
        <w:t>.</w:t>
      </w:r>
    </w:p>
    <w:p w14:paraId="234718FA" w14:textId="752CF566" w:rsidR="00F24391" w:rsidRPr="004638A9" w:rsidRDefault="00F24391" w:rsidP="00732E64">
      <w:pPr>
        <w:pStyle w:val="ListParagraph"/>
        <w:numPr>
          <w:ilvl w:val="0"/>
          <w:numId w:val="31"/>
        </w:numPr>
        <w:spacing w:after="120"/>
        <w:ind w:left="714" w:hanging="357"/>
        <w:contextualSpacing w:val="0"/>
        <w:rPr>
          <w:color w:val="auto"/>
        </w:rPr>
      </w:pPr>
      <w:r w:rsidRPr="004638A9">
        <w:rPr>
          <w:rFonts w:asciiTheme="minorHAnsi" w:eastAsiaTheme="minorHAnsi" w:hAnsiTheme="minorHAnsi" w:cstheme="minorBidi"/>
          <w:color w:val="auto"/>
          <w:sz w:val="22"/>
          <w:szCs w:val="22"/>
          <w:lang w:eastAsia="en-US"/>
        </w:rPr>
        <w:t xml:space="preserve">NOPTA reviewed its suite of application forms relating to offshore petroleum titles to </w:t>
      </w:r>
      <w:r w:rsidR="00242A79">
        <w:rPr>
          <w:rFonts w:asciiTheme="minorHAnsi" w:eastAsiaTheme="minorHAnsi" w:hAnsiTheme="minorHAnsi" w:cstheme="minorBidi"/>
          <w:color w:val="auto"/>
          <w:sz w:val="22"/>
          <w:szCs w:val="22"/>
          <w:lang w:eastAsia="en-US"/>
        </w:rPr>
        <w:t>improve</w:t>
      </w:r>
      <w:r w:rsidRPr="004638A9">
        <w:rPr>
          <w:rFonts w:asciiTheme="minorHAnsi" w:eastAsiaTheme="minorHAnsi" w:hAnsiTheme="minorHAnsi" w:cstheme="minorBidi"/>
          <w:color w:val="auto"/>
          <w:sz w:val="22"/>
          <w:szCs w:val="22"/>
          <w:lang w:eastAsia="en-US"/>
        </w:rPr>
        <w:t xml:space="preserve"> user friendl</w:t>
      </w:r>
      <w:r w:rsidR="00242A79">
        <w:rPr>
          <w:rFonts w:asciiTheme="minorHAnsi" w:eastAsiaTheme="minorHAnsi" w:hAnsiTheme="minorHAnsi" w:cstheme="minorBidi"/>
          <w:color w:val="auto"/>
          <w:sz w:val="22"/>
          <w:szCs w:val="22"/>
          <w:lang w:eastAsia="en-US"/>
        </w:rPr>
        <w:t>iness</w:t>
      </w:r>
      <w:r w:rsidRPr="004638A9">
        <w:rPr>
          <w:rFonts w:asciiTheme="minorHAnsi" w:eastAsiaTheme="minorHAnsi" w:hAnsiTheme="minorHAnsi" w:cstheme="minorBidi"/>
          <w:color w:val="auto"/>
          <w:sz w:val="22"/>
          <w:szCs w:val="22"/>
          <w:lang w:eastAsia="en-US"/>
        </w:rPr>
        <w:t xml:space="preserve"> and to </w:t>
      </w:r>
      <w:r w:rsidR="00242A79">
        <w:rPr>
          <w:rFonts w:asciiTheme="minorHAnsi" w:eastAsiaTheme="minorHAnsi" w:hAnsiTheme="minorHAnsi" w:cstheme="minorBidi"/>
          <w:color w:val="auto"/>
          <w:sz w:val="22"/>
          <w:szCs w:val="22"/>
          <w:lang w:eastAsia="en-US"/>
        </w:rPr>
        <w:t>detail further</w:t>
      </w:r>
      <w:r w:rsidR="00242A79" w:rsidRPr="004638A9">
        <w:rPr>
          <w:rFonts w:asciiTheme="minorHAnsi" w:eastAsiaTheme="minorHAnsi" w:hAnsiTheme="minorHAnsi" w:cstheme="minorBidi"/>
          <w:color w:val="auto"/>
          <w:sz w:val="22"/>
          <w:szCs w:val="22"/>
          <w:lang w:eastAsia="en-US"/>
        </w:rPr>
        <w:t xml:space="preserve"> </w:t>
      </w:r>
      <w:r w:rsidRPr="004638A9">
        <w:rPr>
          <w:rFonts w:asciiTheme="minorHAnsi" w:eastAsiaTheme="minorHAnsi" w:hAnsiTheme="minorHAnsi" w:cstheme="minorBidi"/>
          <w:color w:val="auto"/>
          <w:sz w:val="22"/>
          <w:szCs w:val="22"/>
          <w:lang w:eastAsia="en-US"/>
        </w:rPr>
        <w:t xml:space="preserve">guidance to applicants. </w:t>
      </w:r>
    </w:p>
    <w:p w14:paraId="1C2416C7" w14:textId="1B13DA78" w:rsidR="00CE5A3E" w:rsidRPr="006971ED" w:rsidRDefault="00F24391" w:rsidP="00732E64">
      <w:pPr>
        <w:pStyle w:val="ListParagraph"/>
        <w:numPr>
          <w:ilvl w:val="0"/>
          <w:numId w:val="31"/>
        </w:numPr>
        <w:spacing w:after="120"/>
        <w:ind w:left="714" w:hanging="357"/>
        <w:contextualSpacing w:val="0"/>
        <w:rPr>
          <w:rFonts w:asciiTheme="minorHAnsi" w:eastAsiaTheme="minorHAnsi" w:hAnsiTheme="minorHAnsi" w:cstheme="minorBidi"/>
          <w:color w:val="auto"/>
          <w:sz w:val="22"/>
          <w:szCs w:val="22"/>
          <w:lang w:eastAsia="en-US"/>
        </w:rPr>
      </w:pPr>
      <w:r w:rsidRPr="004638A9">
        <w:rPr>
          <w:rFonts w:asciiTheme="minorHAnsi" w:eastAsiaTheme="minorHAnsi" w:hAnsiTheme="minorHAnsi" w:cstheme="minorBidi"/>
          <w:color w:val="auto"/>
          <w:sz w:val="22"/>
          <w:szCs w:val="22"/>
          <w:lang w:eastAsia="en-US"/>
        </w:rPr>
        <w:t xml:space="preserve">NEATS functionality was </w:t>
      </w:r>
      <w:r w:rsidRPr="006971ED">
        <w:rPr>
          <w:rFonts w:asciiTheme="minorHAnsi" w:eastAsiaTheme="minorHAnsi" w:hAnsiTheme="minorHAnsi" w:cstheme="minorBidi"/>
          <w:color w:val="auto"/>
          <w:sz w:val="22"/>
          <w:szCs w:val="22"/>
          <w:lang w:eastAsia="en-US"/>
        </w:rPr>
        <w:t>improved t</w:t>
      </w:r>
      <w:r w:rsidR="006971ED" w:rsidRPr="006971ED">
        <w:rPr>
          <w:rFonts w:asciiTheme="minorHAnsi" w:eastAsiaTheme="minorHAnsi" w:hAnsiTheme="minorHAnsi" w:cstheme="minorBidi"/>
          <w:color w:val="auto"/>
          <w:sz w:val="22"/>
          <w:szCs w:val="22"/>
          <w:lang w:eastAsia="en-US"/>
        </w:rPr>
        <w:t>hrough the automation of annual title administration levy notifications in the Industry Portal</w:t>
      </w:r>
    </w:p>
    <w:p w14:paraId="3B3C7E74" w14:textId="77777777" w:rsidR="00142060" w:rsidRDefault="00142060" w:rsidP="00732E64">
      <w:pPr>
        <w:pStyle w:val="Heading2"/>
        <w:spacing w:after="120" w:line="240" w:lineRule="auto"/>
      </w:pPr>
      <w:bookmarkStart w:id="56" w:name="_Toc468884940"/>
      <w:r>
        <w:t>KPI Expectations</w:t>
      </w:r>
      <w:bookmarkEnd w:id="56"/>
    </w:p>
    <w:p w14:paraId="1ACBF65E" w14:textId="6757426C" w:rsidR="00142060" w:rsidRPr="00FF2FAE" w:rsidRDefault="008B0964" w:rsidP="00FE0E8B">
      <w:pPr>
        <w:spacing w:line="240" w:lineRule="auto"/>
      </w:pPr>
      <w:r>
        <w:t xml:space="preserve">Regulators will actively contribute to the continuous improvement of the regulatory </w:t>
      </w:r>
      <w:r w:rsidR="00E11A2E">
        <w:t>framework</w:t>
      </w:r>
      <w:r>
        <w:t xml:space="preserve">, including establishing cooperative and collaborative relationships with stakeholders and regularly </w:t>
      </w:r>
      <w:r w:rsidR="006E6075">
        <w:t xml:space="preserve">seeking and </w:t>
      </w:r>
      <w:r>
        <w:t>sharing feedback.</w:t>
      </w:r>
    </w:p>
    <w:p w14:paraId="1DB73FE7" w14:textId="14321B9C" w:rsidR="00142060" w:rsidRDefault="00C31610" w:rsidP="00732E64">
      <w:pPr>
        <w:pStyle w:val="Heading2"/>
        <w:spacing w:after="120" w:line="240" w:lineRule="auto"/>
      </w:pPr>
      <w:bookmarkStart w:id="57" w:name="_Toc468884941"/>
      <w:r>
        <w:t>NOPTA’s Approach</w:t>
      </w:r>
      <w:bookmarkEnd w:id="57"/>
      <w:r w:rsidR="00142060" w:rsidRPr="00686DDC">
        <w:t xml:space="preserve"> </w:t>
      </w:r>
    </w:p>
    <w:p w14:paraId="1949D0A1" w14:textId="7E52164A" w:rsidR="001D28F1" w:rsidRDefault="001D28F1" w:rsidP="00732E64">
      <w:pPr>
        <w:spacing w:line="240" w:lineRule="auto"/>
      </w:pPr>
      <w:r>
        <w:t xml:space="preserve">NOPTA is committed to continuous improvement with a culture that embraces innovation, efficiency and stakeholder engagement.  This is reflected in our daily business practices and in the attitude and commitment of our staff.  </w:t>
      </w:r>
    </w:p>
    <w:p w14:paraId="11CA0897" w14:textId="641D9F30" w:rsidR="00156244" w:rsidRDefault="0039179D" w:rsidP="00732E64">
      <w:pPr>
        <w:spacing w:line="240" w:lineRule="auto"/>
      </w:pPr>
      <w:r>
        <w:t xml:space="preserve">Since NOPTA’s </w:t>
      </w:r>
      <w:r w:rsidR="00BE25B1">
        <w:t>commencement in 2012</w:t>
      </w:r>
      <w:r w:rsidR="001D28F1">
        <w:t xml:space="preserve"> a series of </w:t>
      </w:r>
      <w:r w:rsidR="00D56041">
        <w:t>protocols</w:t>
      </w:r>
      <w:r w:rsidR="001D28F1">
        <w:t xml:space="preserve"> and operational policies </w:t>
      </w:r>
      <w:r>
        <w:t xml:space="preserve">were developed </w:t>
      </w:r>
      <w:r w:rsidR="001D28F1">
        <w:t xml:space="preserve">to ensure that </w:t>
      </w:r>
      <w:r>
        <w:t>NOPTA</w:t>
      </w:r>
      <w:r w:rsidR="001D28F1">
        <w:t xml:space="preserve"> could discharge its responsibilities efficiently.  The maturation of the relationship between NOPTA and its government and industry stakeholders has enabled informal and formal feedback mechanisms.  For example, NOPTA receives informal feedback on the quality of its advice to the Joint Authorities and feedback on the ease of the NEATS to make payments or find information.  Formal feedback includes the 2015 Operational Review and the stakeholder survey</w:t>
      </w:r>
      <w:r w:rsidR="00BE25B1">
        <w:t>s</w:t>
      </w:r>
    </w:p>
    <w:p w14:paraId="2461CE13" w14:textId="77777777" w:rsidR="00142060" w:rsidRDefault="00142060" w:rsidP="00732E64">
      <w:pPr>
        <w:pStyle w:val="Heading2"/>
        <w:spacing w:after="120" w:line="240" w:lineRule="auto"/>
      </w:pPr>
      <w:bookmarkStart w:id="58" w:name="_Toc468884942"/>
      <w:r>
        <w:t>Results</w:t>
      </w:r>
      <w:bookmarkEnd w:id="58"/>
    </w:p>
    <w:p w14:paraId="41B88155" w14:textId="66211DA2" w:rsidR="00F24391" w:rsidRDefault="00FF72B8" w:rsidP="00C267D5">
      <w:pPr>
        <w:pStyle w:val="Heading3"/>
      </w:pPr>
      <w:r w:rsidRPr="00D52843">
        <w:t>Support to policy and broader government</w:t>
      </w:r>
      <w:r w:rsidRPr="007903BF">
        <w:t xml:space="preserve"> &amp; i</w:t>
      </w:r>
      <w:r w:rsidR="00F24391" w:rsidRPr="00D52843">
        <w:t>mproving the legislative framework</w:t>
      </w:r>
    </w:p>
    <w:p w14:paraId="5E467BCF" w14:textId="7CAA619A" w:rsidR="00F24391" w:rsidRDefault="00F24391" w:rsidP="00732E64">
      <w:pPr>
        <w:spacing w:line="240" w:lineRule="auto"/>
      </w:pPr>
      <w:r w:rsidRPr="0008769C">
        <w:t xml:space="preserve">During the reporting period NOPTA </w:t>
      </w:r>
      <w:r w:rsidR="00BE6000">
        <w:t>provided</w:t>
      </w:r>
      <w:r w:rsidR="00BE6000" w:rsidRPr="0008769C">
        <w:t xml:space="preserve"> </w:t>
      </w:r>
      <w:r w:rsidR="00BE6000">
        <w:t xml:space="preserve">input, technical support and </w:t>
      </w:r>
      <w:r w:rsidR="00FF72B8" w:rsidRPr="0008769C">
        <w:t xml:space="preserve">contributed to a number of </w:t>
      </w:r>
      <w:r w:rsidR="00D56041" w:rsidRPr="0008769C">
        <w:t>legislative amendments</w:t>
      </w:r>
      <w:r w:rsidR="00BE6000">
        <w:t xml:space="preserve"> led by </w:t>
      </w:r>
      <w:r w:rsidR="00761414">
        <w:t>ORB</w:t>
      </w:r>
      <w:r w:rsidR="00BE6000">
        <w:t xml:space="preserve">, which has policy oversight for </w:t>
      </w:r>
      <w:r w:rsidR="00761414">
        <w:t>offshore petroleum and greenhouse gas policy</w:t>
      </w:r>
      <w:r w:rsidR="00BE6000">
        <w:t>.</w:t>
      </w:r>
    </w:p>
    <w:p w14:paraId="22016E76" w14:textId="6320259A" w:rsidR="00D56041" w:rsidRDefault="00D56041" w:rsidP="00732E64">
      <w:pPr>
        <w:spacing w:line="240" w:lineRule="auto"/>
      </w:pPr>
      <w:r>
        <w:t xml:space="preserve">NOPTA </w:t>
      </w:r>
      <w:r w:rsidR="00BE6000">
        <w:t xml:space="preserve">regularly </w:t>
      </w:r>
      <w:r>
        <w:t xml:space="preserve">provides feedback to policy </w:t>
      </w:r>
      <w:r w:rsidR="00BE6000">
        <w:t xml:space="preserve">stakeholders on titleholder issues and trends as well as </w:t>
      </w:r>
      <w:r>
        <w:t xml:space="preserve">the </w:t>
      </w:r>
      <w:r w:rsidR="00BE6000">
        <w:t xml:space="preserve">practical operation of the </w:t>
      </w:r>
      <w:r>
        <w:t>legislation</w:t>
      </w:r>
      <w:r w:rsidR="00BE6000">
        <w:t xml:space="preserve">.  </w:t>
      </w:r>
    </w:p>
    <w:p w14:paraId="10D7D436" w14:textId="199C20E6" w:rsidR="001D28F1" w:rsidRPr="00C770E6" w:rsidRDefault="001D28F1" w:rsidP="00C267D5">
      <w:pPr>
        <w:pStyle w:val="Heading3"/>
      </w:pPr>
      <w:r w:rsidRPr="00C770E6">
        <w:t>Impr</w:t>
      </w:r>
      <w:r>
        <w:t>oving guidelines, factsheets and applicatio</w:t>
      </w:r>
      <w:r w:rsidR="008B5388">
        <w:t>n forms</w:t>
      </w:r>
    </w:p>
    <w:p w14:paraId="4D131263" w14:textId="6AC8FEE8" w:rsidR="00D56041" w:rsidRDefault="007844E6" w:rsidP="00732E64">
      <w:pPr>
        <w:pStyle w:val="NormalWeb"/>
        <w:spacing w:before="0" w:beforeAutospacing="0" w:after="120" w:afterAutospacing="0"/>
      </w:pPr>
      <w:r>
        <w:rPr>
          <w:rFonts w:asciiTheme="minorHAnsi" w:eastAsiaTheme="minorHAnsi" w:hAnsiTheme="minorHAnsi" w:cstheme="minorBidi"/>
          <w:sz w:val="22"/>
          <w:szCs w:val="22"/>
          <w:lang w:eastAsia="en-US"/>
        </w:rPr>
        <w:t xml:space="preserve">To assist stakeholders </w:t>
      </w:r>
      <w:r w:rsidR="002F3971" w:rsidRPr="00FE0E8B">
        <w:rPr>
          <w:rFonts w:asciiTheme="minorHAnsi" w:eastAsiaTheme="minorHAnsi" w:hAnsiTheme="minorHAnsi" w:cstheme="minorBidi"/>
          <w:sz w:val="22"/>
          <w:szCs w:val="22"/>
          <w:lang w:eastAsia="en-US"/>
        </w:rPr>
        <w:t>NOPTA provides consistent information through the use of guidelines, factsheets and application forms. These documents also aid NOPTA in responding to common questions related to application processes</w:t>
      </w:r>
      <w:r w:rsidR="002F3971">
        <w:rPr>
          <w:rFonts w:asciiTheme="minorHAnsi" w:eastAsiaTheme="minorHAnsi" w:hAnsiTheme="minorHAnsi" w:cstheme="minorBidi"/>
          <w:sz w:val="22"/>
          <w:szCs w:val="22"/>
          <w:lang w:eastAsia="en-US"/>
        </w:rPr>
        <w:t xml:space="preserve">. </w:t>
      </w:r>
      <w:r w:rsidR="001D28F1">
        <w:rPr>
          <w:rFonts w:asciiTheme="minorHAnsi" w:eastAsiaTheme="minorHAnsi" w:hAnsiTheme="minorHAnsi" w:cstheme="minorBidi"/>
          <w:sz w:val="22"/>
          <w:szCs w:val="22"/>
          <w:lang w:eastAsia="en-US"/>
        </w:rPr>
        <w:t xml:space="preserve">In December 2015 </w:t>
      </w:r>
      <w:r w:rsidR="00EC4CD6">
        <w:rPr>
          <w:rFonts w:asciiTheme="minorHAnsi" w:eastAsiaTheme="minorHAnsi" w:hAnsiTheme="minorHAnsi" w:cstheme="minorBidi"/>
          <w:sz w:val="22"/>
          <w:szCs w:val="22"/>
          <w:lang w:eastAsia="en-US"/>
        </w:rPr>
        <w:t xml:space="preserve">and June 2016 </w:t>
      </w:r>
      <w:r w:rsidR="001D28F1" w:rsidRPr="00A37C75">
        <w:rPr>
          <w:rFonts w:asciiTheme="minorHAnsi" w:eastAsiaTheme="minorHAnsi" w:hAnsiTheme="minorHAnsi" w:cstheme="minorBidi"/>
          <w:sz w:val="22"/>
          <w:szCs w:val="22"/>
          <w:lang w:eastAsia="en-US"/>
        </w:rPr>
        <w:t>NOPTA reviewed its suite of application forms relating to offshore petroleum titles. The review aimed to simplify the forms, make them more user friendly and to provide guidance to applicants</w:t>
      </w:r>
      <w:r w:rsidR="00656CDC">
        <w:rPr>
          <w:rFonts w:asciiTheme="minorHAnsi" w:eastAsiaTheme="minorHAnsi" w:hAnsiTheme="minorHAnsi" w:cstheme="minorBidi"/>
          <w:sz w:val="22"/>
          <w:szCs w:val="22"/>
          <w:lang w:eastAsia="en-US"/>
        </w:rPr>
        <w:t xml:space="preserve"> – par</w:t>
      </w:r>
      <w:r w:rsidR="00FA3480">
        <w:rPr>
          <w:rFonts w:asciiTheme="minorHAnsi" w:eastAsiaTheme="minorHAnsi" w:hAnsiTheme="minorHAnsi" w:cstheme="minorBidi"/>
          <w:sz w:val="22"/>
          <w:szCs w:val="22"/>
          <w:lang w:eastAsia="en-US"/>
        </w:rPr>
        <w:t xml:space="preserve">ticularly where guidelines are still under development. </w:t>
      </w:r>
    </w:p>
    <w:p w14:paraId="1A974EB9" w14:textId="72AFEECB" w:rsidR="00761414" w:rsidRDefault="00D56041" w:rsidP="00FE0E8B">
      <w:pPr>
        <w:spacing w:line="240" w:lineRule="auto"/>
      </w:pPr>
      <w:r>
        <w:t>NOPTA responds to frequent asked questions by providing consistent information to stakeholders through guidelines, factsheets and application forms. In the reporting period NOPTA also reviewed the published factsheets to make sure they are useful</w:t>
      </w:r>
      <w:r w:rsidR="00FA3480">
        <w:t xml:space="preserve"> and responded to frequent process questions by providing consistent information through fact sheets</w:t>
      </w:r>
      <w:r w:rsidR="008B5388">
        <w:t xml:space="preserve"> and application forms</w:t>
      </w:r>
      <w:r w:rsidR="00FA3480">
        <w:t>.</w:t>
      </w:r>
    </w:p>
    <w:p w14:paraId="46C1CD60" w14:textId="55F44610" w:rsidR="00581B70" w:rsidRDefault="00E86D0E" w:rsidP="00FE0E8B">
      <w:pPr>
        <w:spacing w:line="240" w:lineRule="auto"/>
      </w:pPr>
      <w:r>
        <w:t xml:space="preserve">Additionally, </w:t>
      </w:r>
      <w:r w:rsidR="00581B70">
        <w:t xml:space="preserve">NOPTA </w:t>
      </w:r>
      <w:r>
        <w:t xml:space="preserve">developed </w:t>
      </w:r>
      <w:r w:rsidR="00581B70">
        <w:t xml:space="preserve">a set of guidance presentations on the legislative framework; assisted with </w:t>
      </w:r>
      <w:r w:rsidR="008341FF">
        <w:t>drafting</w:t>
      </w:r>
      <w:r w:rsidR="00581B70">
        <w:t xml:space="preserve"> the Declaration of a Location Guideline; reviewed the Special Prospecting </w:t>
      </w:r>
      <w:r w:rsidR="00581B70">
        <w:lastRenderedPageBreak/>
        <w:t xml:space="preserve">Authority Guideline; established the Greenhouse Gas Declaration of a Formation Guideline; and developed a Greenhouse Gas Search Authority, Special Authority and Research Consent factsheet. </w:t>
      </w:r>
    </w:p>
    <w:p w14:paraId="0E97B504" w14:textId="7C070472" w:rsidR="00A668B1" w:rsidRDefault="00A668B1" w:rsidP="00732E64">
      <w:pPr>
        <w:pStyle w:val="NormalWeb"/>
        <w:spacing w:before="0" w:beforeAutospacing="0" w:after="12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NOPTA is </w:t>
      </w:r>
      <w:r w:rsidR="00E733C8">
        <w:rPr>
          <w:rFonts w:asciiTheme="minorHAnsi" w:eastAsiaTheme="minorHAnsi" w:hAnsiTheme="minorHAnsi" w:cstheme="minorBidi"/>
          <w:sz w:val="22"/>
          <w:szCs w:val="22"/>
          <w:lang w:eastAsia="en-US"/>
        </w:rPr>
        <w:t xml:space="preserve">also </w:t>
      </w:r>
      <w:r>
        <w:rPr>
          <w:rFonts w:asciiTheme="minorHAnsi" w:eastAsiaTheme="minorHAnsi" w:hAnsiTheme="minorHAnsi" w:cstheme="minorBidi"/>
          <w:sz w:val="22"/>
          <w:szCs w:val="22"/>
          <w:lang w:eastAsia="en-US"/>
        </w:rPr>
        <w:t>consulting with stakeholders on potential improvements to the data submission guidelines</w:t>
      </w:r>
      <w:r w:rsidR="00E733C8">
        <w:rPr>
          <w:rFonts w:asciiTheme="minorHAnsi" w:eastAsiaTheme="minorHAnsi" w:hAnsiTheme="minorHAnsi" w:cstheme="minorBidi"/>
          <w:sz w:val="22"/>
          <w:szCs w:val="22"/>
          <w:lang w:eastAsia="en-US"/>
        </w:rPr>
        <w:t xml:space="preserve">.  The consultation seeks to ensure the guidelines are up to date, responsive to technological developments, clarifies ambiguities, removes inconsistencies and enables flexibility in how to meet the requirements.  A revised set of submission guidelines is expected to be finalised in the 2016-17 period. </w:t>
      </w:r>
    </w:p>
    <w:p w14:paraId="0AFD29CF" w14:textId="31853B92" w:rsidR="00F52487" w:rsidRPr="00A37C75" w:rsidRDefault="00F52487" w:rsidP="00732E64">
      <w:pPr>
        <w:pStyle w:val="NormalWeb"/>
        <w:spacing w:before="0" w:beforeAutospacing="0" w:after="120" w:afterAutospacing="0"/>
        <w:rPr>
          <w:lang w:val="en"/>
        </w:rPr>
      </w:pPr>
      <w:r>
        <w:rPr>
          <w:rFonts w:asciiTheme="minorHAnsi" w:eastAsiaTheme="minorHAnsi" w:hAnsiTheme="minorHAnsi" w:cstheme="minorBidi"/>
          <w:sz w:val="22"/>
          <w:szCs w:val="22"/>
          <w:lang w:eastAsia="en-US"/>
        </w:rPr>
        <w:t xml:space="preserve">NOPTA is </w:t>
      </w:r>
      <w:r w:rsidR="00E733C8">
        <w:rPr>
          <w:rFonts w:asciiTheme="minorHAnsi" w:eastAsiaTheme="minorHAnsi" w:hAnsiTheme="minorHAnsi" w:cstheme="minorBidi"/>
          <w:sz w:val="22"/>
          <w:szCs w:val="22"/>
          <w:lang w:eastAsia="en-US"/>
        </w:rPr>
        <w:t>assessing</w:t>
      </w:r>
      <w:r>
        <w:rPr>
          <w:rFonts w:asciiTheme="minorHAnsi" w:eastAsiaTheme="minorHAnsi" w:hAnsiTheme="minorHAnsi" w:cstheme="minorBidi"/>
          <w:sz w:val="22"/>
          <w:szCs w:val="22"/>
          <w:lang w:eastAsia="en-US"/>
        </w:rPr>
        <w:t xml:space="preserve"> the feasibility of delivering updates to wells and survey metadata by Web Services</w:t>
      </w:r>
      <w:r w:rsidR="00E733C8">
        <w:rPr>
          <w:rFonts w:asciiTheme="minorHAnsi" w:eastAsiaTheme="minorHAnsi" w:hAnsiTheme="minorHAnsi" w:cstheme="minorBidi"/>
          <w:sz w:val="22"/>
          <w:szCs w:val="22"/>
          <w:lang w:eastAsia="en-US"/>
        </w:rPr>
        <w:t xml:space="preserve">.  This initiative seeks to </w:t>
      </w:r>
      <w:r>
        <w:rPr>
          <w:rFonts w:asciiTheme="minorHAnsi" w:eastAsiaTheme="minorHAnsi" w:hAnsiTheme="minorHAnsi" w:cstheme="minorBidi"/>
          <w:sz w:val="22"/>
          <w:szCs w:val="22"/>
          <w:lang w:eastAsia="en-US"/>
        </w:rPr>
        <w:t>ensure a ‘single source of truth’ for stakeholders</w:t>
      </w:r>
      <w:r w:rsidR="00E733C8">
        <w:rPr>
          <w:rFonts w:asciiTheme="minorHAnsi" w:eastAsiaTheme="minorHAnsi" w:hAnsiTheme="minorHAnsi" w:cstheme="minorBidi"/>
          <w:sz w:val="22"/>
          <w:szCs w:val="22"/>
          <w:lang w:eastAsia="en-US"/>
        </w:rPr>
        <w:t>.  It would also</w:t>
      </w:r>
      <w:r>
        <w:rPr>
          <w:rFonts w:asciiTheme="minorHAnsi" w:eastAsiaTheme="minorHAnsi" w:hAnsiTheme="minorHAnsi" w:cstheme="minorBidi"/>
          <w:sz w:val="22"/>
          <w:szCs w:val="22"/>
          <w:lang w:eastAsia="en-US"/>
        </w:rPr>
        <w:t xml:space="preserve"> streamline population of external databases, including NOPIMS and state-based data discovery and delivery systems</w:t>
      </w:r>
      <w:r w:rsidR="00A90957">
        <w:rPr>
          <w:rFonts w:asciiTheme="minorHAnsi" w:eastAsiaTheme="minorHAnsi" w:hAnsiTheme="minorHAnsi" w:cstheme="minorBidi"/>
          <w:sz w:val="22"/>
          <w:szCs w:val="22"/>
          <w:lang w:eastAsia="en-US"/>
        </w:rPr>
        <w:t>.</w:t>
      </w:r>
    </w:p>
    <w:p w14:paraId="7370FC72" w14:textId="66AC554B" w:rsidR="00F24391" w:rsidRPr="002773E1" w:rsidRDefault="00D56041" w:rsidP="00C267D5">
      <w:pPr>
        <w:pStyle w:val="Heading3"/>
      </w:pPr>
      <w:r>
        <w:t>Innovations and e</w:t>
      </w:r>
      <w:r w:rsidR="00F24391" w:rsidRPr="002773E1">
        <w:t>nhancements</w:t>
      </w:r>
    </w:p>
    <w:p w14:paraId="50918658" w14:textId="748DB2AE" w:rsidR="00F24391" w:rsidRDefault="00F24391" w:rsidP="00732E64">
      <w:pPr>
        <w:spacing w:line="240" w:lineRule="auto"/>
        <w:rPr>
          <w:lang w:val="en"/>
        </w:rPr>
      </w:pPr>
      <w:r>
        <w:t>NEATS</w:t>
      </w:r>
      <w:r w:rsidR="008341FF">
        <w:t>,</w:t>
      </w:r>
      <w:r>
        <w:t xml:space="preserve"> administered by NOPTA</w:t>
      </w:r>
      <w:r w:rsidR="008341FF">
        <w:t>,</w:t>
      </w:r>
      <w:r>
        <w:t xml:space="preserve"> </w:t>
      </w:r>
      <w:r w:rsidRPr="0088474E">
        <w:rPr>
          <w:lang w:val="en"/>
        </w:rPr>
        <w:t xml:space="preserve">provides access to publicly available information </w:t>
      </w:r>
      <w:r>
        <w:rPr>
          <w:lang w:val="en"/>
        </w:rPr>
        <w:t>on</w:t>
      </w:r>
      <w:r w:rsidRPr="0088474E">
        <w:rPr>
          <w:lang w:val="en"/>
        </w:rPr>
        <w:t xml:space="preserve"> offshore petroleum titles and applications</w:t>
      </w:r>
      <w:r>
        <w:rPr>
          <w:lang w:val="en"/>
        </w:rPr>
        <w:t>.  It also</w:t>
      </w:r>
      <w:r w:rsidRPr="0088474E">
        <w:rPr>
          <w:lang w:val="en"/>
        </w:rPr>
        <w:t xml:space="preserve"> </w:t>
      </w:r>
      <w:r>
        <w:rPr>
          <w:lang w:val="en"/>
        </w:rPr>
        <w:t xml:space="preserve">enables </w:t>
      </w:r>
      <w:r w:rsidRPr="0088474E">
        <w:rPr>
          <w:lang w:val="en"/>
        </w:rPr>
        <w:t>online payment of fees and the lodgment and tracking of applications.</w:t>
      </w:r>
    </w:p>
    <w:p w14:paraId="645777E2" w14:textId="6353DCA2" w:rsidR="006971ED" w:rsidRPr="001F1D4F" w:rsidRDefault="006971ED" w:rsidP="006971ED">
      <w:pPr>
        <w:rPr>
          <w:rFonts w:cs="Times New Roman"/>
        </w:rPr>
      </w:pPr>
      <w:r w:rsidRPr="001F1D4F">
        <w:rPr>
          <w:rFonts w:cs="Times New Roman"/>
        </w:rPr>
        <w:t>The functionality in NEATS was enhanced</w:t>
      </w:r>
      <w:r w:rsidR="008341FF">
        <w:rPr>
          <w:rFonts w:cs="Times New Roman"/>
        </w:rPr>
        <w:t xml:space="preserve"> in 2015-16</w:t>
      </w:r>
      <w:r w:rsidRPr="001F1D4F">
        <w:rPr>
          <w:rFonts w:cs="Times New Roman"/>
        </w:rPr>
        <w:t xml:space="preserve"> through the automation of annual title administration levy notifications through the Industry Portal</w:t>
      </w:r>
      <w:r>
        <w:rPr>
          <w:rFonts w:cs="Times New Roman"/>
        </w:rPr>
        <w:t xml:space="preserve"> (January 2015) </w:t>
      </w:r>
      <w:r w:rsidRPr="001F1D4F">
        <w:rPr>
          <w:rFonts w:cs="Times New Roman"/>
        </w:rPr>
        <w:t xml:space="preserve">enabling easier access </w:t>
      </w:r>
      <w:r>
        <w:rPr>
          <w:rFonts w:cs="Times New Roman"/>
        </w:rPr>
        <w:t xml:space="preserve">by titleholders </w:t>
      </w:r>
      <w:r w:rsidRPr="001F1D4F">
        <w:rPr>
          <w:rFonts w:cs="Times New Roman"/>
        </w:rPr>
        <w:t xml:space="preserve">to credit card payment facilities and tracking of annual title levy due dates and </w:t>
      </w:r>
      <w:r>
        <w:rPr>
          <w:rFonts w:cs="Times New Roman"/>
        </w:rPr>
        <w:t>payment history</w:t>
      </w:r>
      <w:r w:rsidRPr="001F1D4F">
        <w:rPr>
          <w:rFonts w:cs="Times New Roman"/>
        </w:rPr>
        <w:t>.</w:t>
      </w:r>
      <w:r>
        <w:rPr>
          <w:rFonts w:cs="Times New Roman"/>
        </w:rPr>
        <w:t xml:space="preserve">  Additional functionality for the creation of application fee notifications within the Industry Portal is available upon request by applicants wishing to pay application fees by credit card.</w:t>
      </w:r>
    </w:p>
    <w:p w14:paraId="0F0BB707" w14:textId="05000279" w:rsidR="006971ED" w:rsidRPr="001F1D4F" w:rsidRDefault="006971ED" w:rsidP="006971ED">
      <w:pPr>
        <w:rPr>
          <w:rFonts w:cs="Times New Roman"/>
        </w:rPr>
      </w:pPr>
      <w:r w:rsidRPr="001F1D4F">
        <w:rPr>
          <w:rFonts w:cs="Times New Roman"/>
        </w:rPr>
        <w:t>66</w:t>
      </w:r>
      <w:r w:rsidR="008341FF">
        <w:rPr>
          <w:rFonts w:cs="Times New Roman"/>
        </w:rPr>
        <w:t xml:space="preserve"> per cent</w:t>
      </w:r>
      <w:r w:rsidRPr="001F1D4F">
        <w:rPr>
          <w:rFonts w:cs="Times New Roman"/>
        </w:rPr>
        <w:t xml:space="preserve"> of nominated titleholders (operators) are registered for the Industry Portal </w:t>
      </w:r>
      <w:r>
        <w:rPr>
          <w:rFonts w:cs="Times New Roman"/>
        </w:rPr>
        <w:t>comprising</w:t>
      </w:r>
      <w:r w:rsidRPr="001F1D4F">
        <w:rPr>
          <w:rFonts w:cs="Times New Roman"/>
        </w:rPr>
        <w:t xml:space="preserve"> 84</w:t>
      </w:r>
      <w:r w:rsidR="000A473E">
        <w:rPr>
          <w:rFonts w:cs="Times New Roman"/>
        </w:rPr>
        <w:t xml:space="preserve"> per cent</w:t>
      </w:r>
      <w:r w:rsidRPr="001F1D4F">
        <w:rPr>
          <w:rFonts w:cs="Times New Roman"/>
        </w:rPr>
        <w:t xml:space="preserve"> of titles subject to the annual title administration levy as at 30 June 2016.</w:t>
      </w:r>
    </w:p>
    <w:p w14:paraId="5E6F7B3F" w14:textId="7739322C" w:rsidR="006971ED" w:rsidRDefault="006971ED" w:rsidP="006971ED">
      <w:pPr>
        <w:spacing w:line="240" w:lineRule="auto"/>
        <w:rPr>
          <w:rFonts w:cs="Times New Roman"/>
        </w:rPr>
      </w:pPr>
      <w:r w:rsidRPr="00E8036D">
        <w:rPr>
          <w:rFonts w:cs="Times New Roman"/>
        </w:rPr>
        <w:t xml:space="preserve">408 Annual titles administration levy notifications and 27 Application Fee notifications were created in NEATS for 2015-2016, of </w:t>
      </w:r>
      <w:r>
        <w:rPr>
          <w:rFonts w:cs="Times New Roman"/>
        </w:rPr>
        <w:t>these 19</w:t>
      </w:r>
      <w:r w:rsidR="000A473E">
        <w:rPr>
          <w:rFonts w:cs="Times New Roman"/>
        </w:rPr>
        <w:t xml:space="preserve"> per cent</w:t>
      </w:r>
      <w:r>
        <w:rPr>
          <w:rFonts w:cs="Times New Roman"/>
        </w:rPr>
        <w:t xml:space="preserve"> of payments were made or </w:t>
      </w:r>
      <w:r w:rsidRPr="00E8036D">
        <w:rPr>
          <w:rFonts w:cs="Times New Roman"/>
        </w:rPr>
        <w:t>notified through NEATS.</w:t>
      </w:r>
      <w:r>
        <w:rPr>
          <w:rFonts w:cs="Times New Roman"/>
        </w:rPr>
        <w:t xml:space="preserve">  Of these payments through NEATS 36</w:t>
      </w:r>
      <w:r w:rsidR="000A473E">
        <w:rPr>
          <w:rFonts w:cs="Times New Roman"/>
        </w:rPr>
        <w:t xml:space="preserve"> per cent</w:t>
      </w:r>
      <w:r>
        <w:rPr>
          <w:rFonts w:cs="Times New Roman"/>
        </w:rPr>
        <w:t xml:space="preserve"> were made using the NEATS credit card facilities.</w:t>
      </w:r>
    </w:p>
    <w:p w14:paraId="51BAE899" w14:textId="5B942EC6" w:rsidR="008341FF" w:rsidRDefault="008341FF" w:rsidP="008341FF">
      <w:pPr>
        <w:spacing w:line="240" w:lineRule="auto"/>
      </w:pPr>
      <w:r>
        <w:rPr>
          <w:lang w:val="en"/>
        </w:rPr>
        <w:t xml:space="preserve">NOPTA is continuing to upload historic titles and registered documents into NEATS to improve the transparency and completeness of this database. </w:t>
      </w:r>
    </w:p>
    <w:p w14:paraId="7EB40005" w14:textId="2EE65757" w:rsidR="00F24391" w:rsidRDefault="00F24391" w:rsidP="00732E64">
      <w:pPr>
        <w:spacing w:line="240" w:lineRule="auto"/>
      </w:pPr>
      <w:r w:rsidRPr="0008769C">
        <w:t>The 2016 stakeholder surve</w:t>
      </w:r>
      <w:r w:rsidR="001E7147" w:rsidRPr="0008769C">
        <w:t xml:space="preserve">y noted no dissatisfaction with NEATS functionality. </w:t>
      </w:r>
      <w:r w:rsidR="002A7F63" w:rsidRPr="0008769C">
        <w:t>Almost all respondents were very to somewhat satisfied that the information was clear, accessible, accurate and consistent.</w:t>
      </w:r>
      <w:r w:rsidR="002A7F63" w:rsidRPr="0008769C">
        <w:rPr>
          <w:rStyle w:val="FootnoteReference"/>
        </w:rPr>
        <w:footnoteReference w:id="27"/>
      </w:r>
    </w:p>
    <w:p w14:paraId="572B836C" w14:textId="77777777" w:rsidR="00142060" w:rsidRDefault="00142060" w:rsidP="00732E64">
      <w:pPr>
        <w:pStyle w:val="Heading2"/>
        <w:spacing w:after="120" w:line="240" w:lineRule="auto"/>
      </w:pPr>
      <w:bookmarkStart w:id="59" w:name="_Toc468884943"/>
      <w:r>
        <w:t>Stakeholder comments</w:t>
      </w:r>
      <w:bookmarkEnd w:id="59"/>
    </w:p>
    <w:p w14:paraId="7CE64936" w14:textId="35847302" w:rsidR="00DC70B1" w:rsidRDefault="001D28F1" w:rsidP="00732E64">
      <w:pPr>
        <w:spacing w:line="240" w:lineRule="auto"/>
      </w:pPr>
      <w:r>
        <w:t xml:space="preserve">The 2016 stakeholder survey </w:t>
      </w:r>
      <w:r w:rsidR="00F44A87">
        <w:t xml:space="preserve">noted that </w:t>
      </w:r>
      <w:r w:rsidR="00C61311">
        <w:t xml:space="preserve">98 per cent </w:t>
      </w:r>
      <w:r w:rsidR="00A84E42">
        <w:t>of respondents</w:t>
      </w:r>
      <w:r w:rsidR="00C61311">
        <w:t xml:space="preserve"> </w:t>
      </w:r>
      <w:r w:rsidR="00A84E42">
        <w:t xml:space="preserve">considered </w:t>
      </w:r>
      <w:r>
        <w:t xml:space="preserve">that </w:t>
      </w:r>
      <w:r w:rsidR="00A84E42">
        <w:t xml:space="preserve">NOPTA </w:t>
      </w:r>
      <w:r>
        <w:t xml:space="preserve">is </w:t>
      </w:r>
      <w:r w:rsidR="00A84E42">
        <w:t>committed to continuous improvement.</w:t>
      </w:r>
      <w:r w:rsidR="00A84E42">
        <w:rPr>
          <w:rStyle w:val="FootnoteReference"/>
        </w:rPr>
        <w:footnoteReference w:id="28"/>
      </w:r>
      <w:r w:rsidR="00A84E42">
        <w:t xml:space="preserve"> </w:t>
      </w:r>
    </w:p>
    <w:p w14:paraId="3E42C775" w14:textId="306CA96D" w:rsidR="00D56041" w:rsidRDefault="00D56041" w:rsidP="00732E64">
      <w:pPr>
        <w:spacing w:line="240" w:lineRule="auto"/>
      </w:pPr>
      <w:r w:rsidRPr="008341FF">
        <w:t xml:space="preserve">As mentioned in KPI </w:t>
      </w:r>
      <w:r w:rsidR="008341FF" w:rsidRPr="008341FF">
        <w:t>2</w:t>
      </w:r>
      <w:r w:rsidRPr="008341FF">
        <w:t xml:space="preserve"> the feedback in the 2016 Stakeholder Survey provided positive feedback on the usefulness, consistency and up to date information found in the NOPTA application forms, factsheets and guidelines.</w:t>
      </w:r>
    </w:p>
    <w:p w14:paraId="085F4E20" w14:textId="6F953D71" w:rsidR="004A2B1E" w:rsidRDefault="004A2B1E" w:rsidP="00732E64">
      <w:pPr>
        <w:spacing w:line="240" w:lineRule="auto"/>
      </w:pPr>
      <w:r>
        <w:t xml:space="preserve">The areas for improvement suggested in the stakeholder survey will be considered by NOPTA </w:t>
      </w:r>
      <w:r w:rsidR="00383A0F">
        <w:t xml:space="preserve">in 2016-17 together with any actions arising from the finalised </w:t>
      </w:r>
      <w:r w:rsidR="00AB3BEA">
        <w:t xml:space="preserve">Offshore Petroleum </w:t>
      </w:r>
      <w:r w:rsidR="00383A0F">
        <w:t xml:space="preserve">Resource Management Review.  A general </w:t>
      </w:r>
      <w:r w:rsidR="00005C55">
        <w:t>suggestion from the survey was</w:t>
      </w:r>
      <w:r w:rsidR="00383A0F">
        <w:t xml:space="preserve"> that NOPTA could do more to promote its roles, responsibilities, processes and duties.</w:t>
      </w:r>
      <w:r w:rsidR="00005C55">
        <w:t xml:space="preserve">  NOPTA </w:t>
      </w:r>
      <w:r w:rsidR="00572AA6">
        <w:t xml:space="preserve">is actively considering how to improve promotion in consultation with policy areas and member of the Joint Authorities. </w:t>
      </w:r>
      <w:r w:rsidR="00383A0F">
        <w:t xml:space="preserve"> </w:t>
      </w:r>
    </w:p>
    <w:p w14:paraId="1AAA286A" w14:textId="10E7FC64" w:rsidR="00EE64B7" w:rsidRPr="008341FF" w:rsidRDefault="00EE64B7" w:rsidP="00732E64">
      <w:pPr>
        <w:spacing w:line="240" w:lineRule="auto"/>
      </w:pPr>
      <w:r>
        <w:lastRenderedPageBreak/>
        <w:t>The December 2015 Australian Government response to the operational review</w:t>
      </w:r>
      <w:r w:rsidR="00D56041">
        <w:t xml:space="preserve"> recognised NOPTA’s </w:t>
      </w:r>
      <w:r w:rsidR="00D56041" w:rsidRPr="008341FF">
        <w:t>current and future contribution to continuous improvement,</w:t>
      </w:r>
      <w:r w:rsidRPr="008341FF">
        <w:t xml:space="preserve"> includ</w:t>
      </w:r>
      <w:r w:rsidR="00D56041" w:rsidRPr="008341FF">
        <w:t>ing</w:t>
      </w:r>
      <w:r w:rsidRPr="008341FF">
        <w:t xml:space="preserve"> the following recommendations:</w:t>
      </w:r>
    </w:p>
    <w:p w14:paraId="78DA8E7B" w14:textId="550F548B" w:rsidR="009B012E" w:rsidRPr="008341FF" w:rsidRDefault="009B012E" w:rsidP="00732E64">
      <w:pPr>
        <w:pStyle w:val="ListParagraph"/>
        <w:numPr>
          <w:ilvl w:val="0"/>
          <w:numId w:val="34"/>
        </w:numPr>
        <w:rPr>
          <w:i/>
          <w:color w:val="auto"/>
        </w:rPr>
      </w:pPr>
      <w:r w:rsidRPr="008341FF">
        <w:rPr>
          <w:rFonts w:asciiTheme="minorHAnsi" w:hAnsiTheme="minorHAnsi"/>
          <w:i/>
          <w:color w:val="auto"/>
          <w:sz w:val="22"/>
          <w:szCs w:val="22"/>
        </w:rPr>
        <w:t xml:space="preserve">Recommendation 10 – That NOPTA investigate the implications of a growth in applications for greenhouse gas storage titles.  This should be undertaken in conjunction with the Department of Industry, Innovation and Science and NOPSEMA. </w:t>
      </w:r>
    </w:p>
    <w:p w14:paraId="2262DC81" w14:textId="77777777" w:rsidR="00D56041" w:rsidRPr="008341FF" w:rsidRDefault="00D56041" w:rsidP="00732E64">
      <w:pPr>
        <w:pStyle w:val="ListParagraph"/>
        <w:ind w:left="720"/>
        <w:rPr>
          <w:i/>
          <w:color w:val="auto"/>
        </w:rPr>
      </w:pPr>
    </w:p>
    <w:p w14:paraId="0C5A3A4D" w14:textId="77777777" w:rsidR="00D56041" w:rsidRPr="008341FF" w:rsidRDefault="00D56041" w:rsidP="00732E64">
      <w:pPr>
        <w:pStyle w:val="ListParagraph"/>
        <w:numPr>
          <w:ilvl w:val="0"/>
          <w:numId w:val="34"/>
        </w:numPr>
        <w:rPr>
          <w:rFonts w:asciiTheme="minorHAnsi" w:hAnsiTheme="minorHAnsi"/>
          <w:i/>
          <w:color w:val="auto"/>
          <w:sz w:val="22"/>
          <w:szCs w:val="22"/>
        </w:rPr>
      </w:pPr>
      <w:r w:rsidRPr="008341FF">
        <w:rPr>
          <w:rFonts w:asciiTheme="minorHAnsi" w:hAnsiTheme="minorHAnsi"/>
          <w:i/>
          <w:color w:val="auto"/>
          <w:sz w:val="22"/>
          <w:szCs w:val="22"/>
        </w:rPr>
        <w:t>Recommendation 11 – That NOPTA provide its insights on the offshore petroleum and greenhouse gas storage industries to jurisdictions to assist with policy development</w:t>
      </w:r>
    </w:p>
    <w:p w14:paraId="4B3FF683" w14:textId="55E492D4" w:rsidR="00F24391" w:rsidRDefault="00D56041" w:rsidP="00FE0E8B">
      <w:pPr>
        <w:spacing w:line="240" w:lineRule="auto"/>
      </w:pPr>
      <w:r w:rsidRPr="008341FF">
        <w:t xml:space="preserve">These recommendations were developed </w:t>
      </w:r>
      <w:r w:rsidR="006A1298" w:rsidRPr="008341FF">
        <w:t>with</w:t>
      </w:r>
      <w:r w:rsidR="00FE040A" w:rsidRPr="008341FF">
        <w:t xml:space="preserve"> stakeholder </w:t>
      </w:r>
      <w:r w:rsidR="006A1298" w:rsidRPr="008341FF">
        <w:t>consultation</w:t>
      </w:r>
      <w:r w:rsidR="00FE040A" w:rsidRPr="008341FF">
        <w:t>.</w:t>
      </w:r>
    </w:p>
    <w:p w14:paraId="52B3D8DA" w14:textId="77777777" w:rsidR="00941577" w:rsidRDefault="00941577">
      <w:pPr>
        <w:rPr>
          <w:rFonts w:asciiTheme="majorHAnsi" w:eastAsiaTheme="majorEastAsia" w:hAnsiTheme="majorHAnsi" w:cstheme="majorBidi"/>
          <w:b/>
          <w:color w:val="2E74B5" w:themeColor="accent1" w:themeShade="BF"/>
          <w:sz w:val="32"/>
          <w:szCs w:val="32"/>
        </w:rPr>
      </w:pPr>
      <w:r>
        <w:rPr>
          <w:b/>
        </w:rPr>
        <w:br w:type="page"/>
      </w:r>
    </w:p>
    <w:p w14:paraId="1F5B48ED" w14:textId="77109869" w:rsidR="00C92684" w:rsidRPr="00331DA7" w:rsidRDefault="00C92684" w:rsidP="00C92684">
      <w:pPr>
        <w:pStyle w:val="Heading1"/>
        <w:spacing w:after="120" w:line="240" w:lineRule="auto"/>
        <w:rPr>
          <w:b/>
        </w:rPr>
      </w:pPr>
      <w:bookmarkStart w:id="60" w:name="_Toc468884944"/>
      <w:r>
        <w:rPr>
          <w:b/>
        </w:rPr>
        <w:lastRenderedPageBreak/>
        <w:t>External Validation comments</w:t>
      </w:r>
      <w:bookmarkEnd w:id="60"/>
    </w:p>
    <w:p w14:paraId="35475BA0" w14:textId="77777777" w:rsidR="00F80032" w:rsidRDefault="005661DE" w:rsidP="004926CC">
      <w:pPr>
        <w:spacing w:line="240" w:lineRule="auto"/>
      </w:pPr>
      <w:r>
        <w:t xml:space="preserve">The </w:t>
      </w:r>
      <w:r w:rsidR="00F24E03">
        <w:t xml:space="preserve">Industry </w:t>
      </w:r>
      <w:r>
        <w:t>Growth Centre</w:t>
      </w:r>
      <w:r w:rsidR="00F24E03">
        <w:t>s</w:t>
      </w:r>
      <w:r>
        <w:t xml:space="preserve"> Advisory Committee (GCAC) is NOPTA’s </w:t>
      </w:r>
      <w:r w:rsidR="00F24E03">
        <w:t xml:space="preserve">independent </w:t>
      </w:r>
      <w:r>
        <w:t xml:space="preserve">validating body for the self-assessment against the six KPIs of the RPF.  </w:t>
      </w:r>
    </w:p>
    <w:p w14:paraId="7EA3FA10" w14:textId="7BD4115B" w:rsidR="00F80032" w:rsidRDefault="00F24E03" w:rsidP="004926CC">
      <w:pPr>
        <w:spacing w:line="240" w:lineRule="auto"/>
      </w:pPr>
      <w:r>
        <w:t>GCAC provided unconditional support of NOPTA’s self-assessment report.  Positive feedback included noting “</w:t>
      </w:r>
      <w:r w:rsidRPr="00941577">
        <w:rPr>
          <w:i/>
        </w:rPr>
        <w:t>NOPTA’s self-assessment demonstrates achievement against the six KPIs.  The comprehensive self-assessment covers NOPTA’s regulatory functions, integrates data and findings to indicate progress as a good regulator.</w:t>
      </w:r>
      <w:r>
        <w:t>”</w:t>
      </w:r>
      <w:r w:rsidRPr="00F24E03">
        <w:t xml:space="preserve"> </w:t>
      </w:r>
    </w:p>
    <w:p w14:paraId="19C0E849" w14:textId="73BD35C4" w:rsidR="004926CC" w:rsidRDefault="00FC347F" w:rsidP="004926CC">
      <w:pPr>
        <w:spacing w:line="240" w:lineRule="auto"/>
      </w:pPr>
      <w:r>
        <w:t>Additional GCAC feedback included suggestions for NOPTA’s consideration in developing future RPF self-assessment</w:t>
      </w:r>
      <w:r w:rsidR="00AB33B3">
        <w:t xml:space="preserve">s, these were </w:t>
      </w:r>
      <w:r>
        <w:t>canvassed in this self-assessment.</w:t>
      </w:r>
      <w:r w:rsidR="00AB33B3">
        <w:rPr>
          <w:rStyle w:val="FootnoteReference"/>
        </w:rPr>
        <w:footnoteReference w:id="29"/>
      </w:r>
      <w:r>
        <w:t xml:space="preserve">  </w:t>
      </w:r>
    </w:p>
    <w:p w14:paraId="55BC4572" w14:textId="5C8F2741" w:rsidR="007768A4" w:rsidRPr="00331DA7" w:rsidRDefault="007768A4">
      <w:pPr>
        <w:pStyle w:val="Heading1"/>
        <w:spacing w:after="120" w:line="240" w:lineRule="auto"/>
      </w:pPr>
      <w:bookmarkStart w:id="61" w:name="_Toc468884945"/>
      <w:r w:rsidRPr="00941577">
        <w:rPr>
          <w:b/>
        </w:rPr>
        <w:t>Conclusion</w:t>
      </w:r>
      <w:bookmarkEnd w:id="61"/>
      <w:r w:rsidRPr="00331DA7">
        <w:t xml:space="preserve"> </w:t>
      </w:r>
    </w:p>
    <w:p w14:paraId="7BD08B6B" w14:textId="79AC5EB5" w:rsidR="005C0C39" w:rsidRDefault="007768A4" w:rsidP="00732E64">
      <w:pPr>
        <w:spacing w:line="240" w:lineRule="auto"/>
      </w:pPr>
      <w:r>
        <w:t xml:space="preserve">Overall, </w:t>
      </w:r>
      <w:r w:rsidR="00331DA7">
        <w:t>NOPTA assesses that it has implemented the RPF</w:t>
      </w:r>
      <w:r w:rsidR="00997226">
        <w:t xml:space="preserve"> an</w:t>
      </w:r>
      <w:r w:rsidR="00331DA7">
        <w:t>d met its six KPIs effectively</w:t>
      </w:r>
      <w:r w:rsidR="006015A3">
        <w:t xml:space="preserve">, however NOPTA </w:t>
      </w:r>
      <w:r w:rsidR="00040276">
        <w:t xml:space="preserve">acknowledges </w:t>
      </w:r>
      <w:r w:rsidR="006015A3">
        <w:t>there is always room for improvement</w:t>
      </w:r>
      <w:r w:rsidR="00331DA7">
        <w:t xml:space="preserve">.  The key purpose of the RPF is </w:t>
      </w:r>
      <w:r w:rsidR="005C0C39">
        <w:t xml:space="preserve">to improve regulator’s </w:t>
      </w:r>
      <w:r w:rsidR="00331DA7">
        <w:t>performance</w:t>
      </w:r>
      <w:r w:rsidR="005C0C39">
        <w:t xml:space="preserve"> </w:t>
      </w:r>
      <w:r w:rsidR="00FA1068">
        <w:t>by being publicly</w:t>
      </w:r>
      <w:r w:rsidR="00331DA7">
        <w:t xml:space="preserve"> accountab</w:t>
      </w:r>
      <w:r w:rsidR="00FA1068">
        <w:t>le in demonstrating</w:t>
      </w:r>
      <w:r w:rsidR="005C0C39">
        <w:t xml:space="preserve"> effective management of risk</w:t>
      </w:r>
      <w:r w:rsidR="00331DA7">
        <w:t xml:space="preserve">.  </w:t>
      </w:r>
    </w:p>
    <w:p w14:paraId="7294B07E" w14:textId="46DED477" w:rsidR="00FA1068" w:rsidRDefault="00331DA7" w:rsidP="00732E64">
      <w:pPr>
        <w:spacing w:line="240" w:lineRule="auto"/>
      </w:pPr>
      <w:r>
        <w:t xml:space="preserve">This self-assessment </w:t>
      </w:r>
      <w:r w:rsidR="00FA1068">
        <w:t>highlights</w:t>
      </w:r>
      <w:r>
        <w:t xml:space="preserve"> </w:t>
      </w:r>
      <w:r w:rsidR="00D25D70">
        <w:t>NOPTA</w:t>
      </w:r>
      <w:r w:rsidR="00FA1068">
        <w:t>’s commitment to public performance reporting</w:t>
      </w:r>
      <w:r w:rsidR="001C6E62">
        <w:t xml:space="preserve"> </w:t>
      </w:r>
      <w:r w:rsidR="006D2653">
        <w:t>th</w:t>
      </w:r>
      <w:r w:rsidR="00997226">
        <w:t>r</w:t>
      </w:r>
      <w:r w:rsidR="006D2653">
        <w:t>ough</w:t>
      </w:r>
      <w:r w:rsidR="001C6E62">
        <w:t>:</w:t>
      </w:r>
      <w:r w:rsidR="00FA1068">
        <w:t xml:space="preserve"> </w:t>
      </w:r>
    </w:p>
    <w:p w14:paraId="529E28D1" w14:textId="04A7715E" w:rsidR="003019B2" w:rsidRDefault="003019B2" w:rsidP="00732E64">
      <w:pPr>
        <w:pStyle w:val="ListParagraph"/>
        <w:numPr>
          <w:ilvl w:val="0"/>
          <w:numId w:val="32"/>
        </w:numPr>
        <w:spacing w:after="120"/>
        <w:ind w:left="714" w:hanging="357"/>
        <w:contextualSpacing w:val="0"/>
        <w:rPr>
          <w:rFonts w:asciiTheme="minorHAnsi" w:hAnsiTheme="minorHAnsi"/>
          <w:color w:val="auto"/>
          <w:sz w:val="22"/>
          <w:szCs w:val="22"/>
        </w:rPr>
      </w:pPr>
      <w:r>
        <w:rPr>
          <w:rFonts w:asciiTheme="minorHAnsi" w:hAnsiTheme="minorHAnsi"/>
          <w:color w:val="auto"/>
          <w:sz w:val="22"/>
          <w:szCs w:val="22"/>
        </w:rPr>
        <w:t>an Annual report of activities, the inaugural report published in 2015;</w:t>
      </w:r>
    </w:p>
    <w:p w14:paraId="75735EC6" w14:textId="1890BF02" w:rsidR="00FA1068" w:rsidRDefault="001C6E62" w:rsidP="00732E64">
      <w:pPr>
        <w:pStyle w:val="ListParagraph"/>
        <w:numPr>
          <w:ilvl w:val="0"/>
          <w:numId w:val="32"/>
        </w:numPr>
        <w:spacing w:after="120"/>
        <w:ind w:left="714" w:hanging="357"/>
        <w:contextualSpacing w:val="0"/>
        <w:rPr>
          <w:rFonts w:asciiTheme="minorHAnsi" w:hAnsiTheme="minorHAnsi"/>
          <w:color w:val="auto"/>
          <w:sz w:val="22"/>
          <w:szCs w:val="22"/>
        </w:rPr>
      </w:pPr>
      <w:r>
        <w:rPr>
          <w:rFonts w:asciiTheme="minorHAnsi" w:hAnsiTheme="minorHAnsi"/>
          <w:color w:val="auto"/>
          <w:sz w:val="22"/>
          <w:szCs w:val="22"/>
        </w:rPr>
        <w:t>i</w:t>
      </w:r>
      <w:r w:rsidR="00FA1068" w:rsidRPr="00FA1068">
        <w:rPr>
          <w:rFonts w:asciiTheme="minorHAnsi" w:hAnsiTheme="minorHAnsi"/>
          <w:color w:val="auto"/>
          <w:sz w:val="22"/>
          <w:szCs w:val="22"/>
        </w:rPr>
        <w:t>mplementing</w:t>
      </w:r>
      <w:r>
        <w:rPr>
          <w:rFonts w:asciiTheme="minorHAnsi" w:hAnsiTheme="minorHAnsi"/>
          <w:color w:val="auto"/>
          <w:sz w:val="22"/>
          <w:szCs w:val="22"/>
        </w:rPr>
        <w:t xml:space="preserve"> the </w:t>
      </w:r>
      <w:r w:rsidR="00FA1068" w:rsidRPr="00FA1068">
        <w:rPr>
          <w:rFonts w:asciiTheme="minorHAnsi" w:hAnsiTheme="minorHAnsi"/>
          <w:color w:val="auto"/>
          <w:sz w:val="22"/>
          <w:szCs w:val="22"/>
        </w:rPr>
        <w:t>outcomes of the 2015 Operational Review of NOPTA</w:t>
      </w:r>
      <w:r w:rsidR="006D2653">
        <w:rPr>
          <w:rFonts w:asciiTheme="minorHAnsi" w:hAnsiTheme="minorHAnsi"/>
          <w:color w:val="auto"/>
          <w:sz w:val="22"/>
          <w:szCs w:val="22"/>
        </w:rPr>
        <w:t>;</w:t>
      </w:r>
    </w:p>
    <w:p w14:paraId="1F5A1ED6" w14:textId="4BFFA141" w:rsidR="001C6E62" w:rsidRDefault="001C6E62" w:rsidP="00732E64">
      <w:pPr>
        <w:pStyle w:val="ListParagraph"/>
        <w:numPr>
          <w:ilvl w:val="0"/>
          <w:numId w:val="32"/>
        </w:numPr>
        <w:spacing w:after="120"/>
        <w:ind w:left="714" w:hanging="357"/>
        <w:contextualSpacing w:val="0"/>
        <w:rPr>
          <w:rFonts w:asciiTheme="minorHAnsi" w:hAnsiTheme="minorHAnsi"/>
          <w:color w:val="auto"/>
          <w:sz w:val="22"/>
          <w:szCs w:val="22"/>
        </w:rPr>
      </w:pPr>
      <w:r>
        <w:rPr>
          <w:rFonts w:asciiTheme="minorHAnsi" w:hAnsiTheme="minorHAnsi"/>
          <w:color w:val="auto"/>
          <w:sz w:val="22"/>
          <w:szCs w:val="22"/>
        </w:rPr>
        <w:t>undertaking stakeholder surveys</w:t>
      </w:r>
      <w:r w:rsidR="00680BD5">
        <w:rPr>
          <w:rFonts w:asciiTheme="minorHAnsi" w:hAnsiTheme="minorHAnsi"/>
          <w:color w:val="auto"/>
          <w:sz w:val="22"/>
          <w:szCs w:val="22"/>
        </w:rPr>
        <w:t xml:space="preserve"> in 2015 and 2016</w:t>
      </w:r>
      <w:r w:rsidR="006D2653">
        <w:rPr>
          <w:rFonts w:asciiTheme="minorHAnsi" w:hAnsiTheme="minorHAnsi"/>
          <w:color w:val="auto"/>
          <w:sz w:val="22"/>
          <w:szCs w:val="22"/>
        </w:rPr>
        <w:t>; and</w:t>
      </w:r>
    </w:p>
    <w:p w14:paraId="3A9E231B" w14:textId="28DA19EC" w:rsidR="001C6E62" w:rsidRDefault="001C6E62" w:rsidP="00732E64">
      <w:pPr>
        <w:pStyle w:val="ListParagraph"/>
        <w:numPr>
          <w:ilvl w:val="0"/>
          <w:numId w:val="32"/>
        </w:numPr>
        <w:spacing w:after="120"/>
        <w:ind w:left="714" w:hanging="357"/>
        <w:contextualSpacing w:val="0"/>
        <w:rPr>
          <w:rFonts w:asciiTheme="minorHAnsi" w:hAnsiTheme="minorHAnsi"/>
          <w:color w:val="auto"/>
          <w:sz w:val="22"/>
          <w:szCs w:val="22"/>
        </w:rPr>
      </w:pPr>
      <w:r>
        <w:rPr>
          <w:rFonts w:asciiTheme="minorHAnsi" w:hAnsiTheme="minorHAnsi"/>
          <w:color w:val="auto"/>
          <w:sz w:val="22"/>
          <w:szCs w:val="22"/>
        </w:rPr>
        <w:t xml:space="preserve">publishing monthly performance statistics as ‘dashboard </w:t>
      </w:r>
      <w:r w:rsidR="00220676">
        <w:rPr>
          <w:rFonts w:asciiTheme="minorHAnsi" w:hAnsiTheme="minorHAnsi"/>
          <w:color w:val="auto"/>
          <w:sz w:val="22"/>
          <w:szCs w:val="22"/>
        </w:rPr>
        <w:t>reports’ on NOPTA’s website</w:t>
      </w:r>
      <w:r w:rsidR="006D2653">
        <w:rPr>
          <w:rFonts w:asciiTheme="minorHAnsi" w:hAnsiTheme="minorHAnsi"/>
          <w:color w:val="auto"/>
          <w:sz w:val="22"/>
          <w:szCs w:val="22"/>
        </w:rPr>
        <w:t>.</w:t>
      </w:r>
    </w:p>
    <w:p w14:paraId="0FD6C3A5" w14:textId="7CC2C32F" w:rsidR="004D5522" w:rsidRDefault="00220676" w:rsidP="00FE0E8B">
      <w:pPr>
        <w:spacing w:after="120" w:line="240" w:lineRule="auto"/>
      </w:pPr>
      <w:r>
        <w:t xml:space="preserve">NOPTA’s </w:t>
      </w:r>
      <w:r w:rsidR="00D32DD3">
        <w:t xml:space="preserve">regulatory </w:t>
      </w:r>
      <w:r>
        <w:t xml:space="preserve">risk management has been framed in terms of NOPTA’s </w:t>
      </w:r>
      <w:r w:rsidR="006D2653">
        <w:t xml:space="preserve">advice </w:t>
      </w:r>
      <w:r w:rsidR="00D32DD3">
        <w:t xml:space="preserve">function </w:t>
      </w:r>
      <w:r w:rsidR="006D2653">
        <w:t xml:space="preserve">to Joint Authority </w:t>
      </w:r>
      <w:r>
        <w:t>decision-mak</w:t>
      </w:r>
      <w:r w:rsidR="006D2653">
        <w:t>ers</w:t>
      </w:r>
      <w:r>
        <w:t xml:space="preserve"> for the </w:t>
      </w:r>
      <w:r w:rsidR="004D5522">
        <w:t xml:space="preserve">granting of </w:t>
      </w:r>
      <w:r>
        <w:t>major petroleum titles</w:t>
      </w:r>
      <w:r w:rsidR="004D5522">
        <w:t xml:space="preserve"> – </w:t>
      </w:r>
      <w:r>
        <w:t xml:space="preserve">exploration permits, retention leases and production </w:t>
      </w:r>
      <w:r w:rsidRPr="00F41DBB">
        <w:t>licenses.</w:t>
      </w:r>
      <w:r w:rsidR="00D32DD3" w:rsidRPr="00F41DBB">
        <w:t xml:space="preserve">  </w:t>
      </w:r>
    </w:p>
    <w:p w14:paraId="2768A12C" w14:textId="3CE1B8F7" w:rsidR="00682A3E" w:rsidRDefault="004D5522" w:rsidP="00FE0E8B">
      <w:pPr>
        <w:spacing w:after="120" w:line="240" w:lineRule="auto"/>
      </w:pPr>
      <w:r>
        <w:t>This self-assessment also highlights how NOPTA risk manages compliance issues</w:t>
      </w:r>
      <w:r w:rsidR="00682A3E">
        <w:t xml:space="preserve">.  The public Compliance and </w:t>
      </w:r>
      <w:r w:rsidR="00682A3E" w:rsidRPr="00682A3E">
        <w:t>Enforcement Policy communicate</w:t>
      </w:r>
      <w:r w:rsidR="00682A3E">
        <w:t>s</w:t>
      </w:r>
      <w:r w:rsidR="00682A3E" w:rsidRPr="00682A3E">
        <w:t xml:space="preserve"> the context and approach of NOPTA’s compliance activities to ensure that actions</w:t>
      </w:r>
      <w:r w:rsidR="00CC5C8D">
        <w:t xml:space="preserve"> and advice provided</w:t>
      </w:r>
      <w:r w:rsidR="00682A3E" w:rsidRPr="00682A3E">
        <w:t xml:space="preserve"> by NOPTA are proportionate to the regulatory risk being managed.</w:t>
      </w:r>
      <w:r w:rsidR="00682A3E">
        <w:t xml:space="preserve">  </w:t>
      </w:r>
      <w:r w:rsidR="003A6B23">
        <w:t xml:space="preserve">The graduated compliance pyramid highlights a range of actions from education and awareness through to prosecution, noting the majority of NOPTA’s compliance activity </w:t>
      </w:r>
      <w:r w:rsidR="003019B2">
        <w:t>is educating and engaging early</w:t>
      </w:r>
      <w:r w:rsidR="00D32DD3">
        <w:t xml:space="preserve"> with titleholders</w:t>
      </w:r>
      <w:r w:rsidR="003019B2">
        <w:t>.</w:t>
      </w:r>
      <w:r w:rsidR="003A6B23">
        <w:t xml:space="preserve">  </w:t>
      </w:r>
    </w:p>
    <w:p w14:paraId="73FBCF94" w14:textId="3BE8022B" w:rsidR="00682A3E" w:rsidRDefault="00682A3E" w:rsidP="00732E64">
      <w:pPr>
        <w:spacing w:line="240" w:lineRule="auto"/>
      </w:pPr>
      <w:r>
        <w:t xml:space="preserve">Communication is central to managing NOPTA’s </w:t>
      </w:r>
      <w:r w:rsidR="006E6075">
        <w:t xml:space="preserve">regulatory </w:t>
      </w:r>
      <w:r>
        <w:t xml:space="preserve">risk.  The emphasis on early engagement and communication recognises the limited flexibility of the legislation to provide options for a regulatory decision by the </w:t>
      </w:r>
      <w:r w:rsidR="00D32DD3">
        <w:t>Joint Authorities</w:t>
      </w:r>
      <w:r>
        <w:t xml:space="preserve"> or NOPTA once a non-compliance has been identified.</w:t>
      </w:r>
      <w:r w:rsidR="00D32DD3">
        <w:t xml:space="preserve">  NOPTA </w:t>
      </w:r>
      <w:r w:rsidR="004567A8">
        <w:t>ensures</w:t>
      </w:r>
      <w:r w:rsidR="00D32DD3">
        <w:t xml:space="preserve"> clear communication of requirements by developing and regularly updating forms and guidelines.  The example of the 2015 development of templates for ATARs </w:t>
      </w:r>
      <w:r w:rsidR="00CC5C8D">
        <w:t xml:space="preserve">shows </w:t>
      </w:r>
      <w:r w:rsidR="0093649E">
        <w:t>NOPTA’s collaborative approach with affected stakeholders to develop initiatives that improve regulatory efficiencies for the regulator and the regulated.  This also demonstrates NOPTA’s commitment to continuous improvement and is reflective of an organisational culture that values innovation, efficiency and stakeholder engagement.</w:t>
      </w:r>
    </w:p>
    <w:p w14:paraId="3F07A89E" w14:textId="25627BDF" w:rsidR="007277C6" w:rsidRDefault="00156244" w:rsidP="00732E64">
      <w:pPr>
        <w:pStyle w:val="Heading1"/>
        <w:spacing w:after="120" w:line="240" w:lineRule="auto"/>
        <w:rPr>
          <w:b/>
        </w:rPr>
      </w:pPr>
      <w:bookmarkStart w:id="62" w:name="_Toc468884946"/>
      <w:r w:rsidRPr="00331DA7">
        <w:rPr>
          <w:b/>
        </w:rPr>
        <w:t>2016-2017</w:t>
      </w:r>
      <w:r w:rsidR="00331DA7">
        <w:rPr>
          <w:b/>
        </w:rPr>
        <w:t xml:space="preserve"> and beyond</w:t>
      </w:r>
      <w:bookmarkEnd w:id="62"/>
    </w:p>
    <w:p w14:paraId="278CCBE9" w14:textId="637D5647" w:rsidR="00246BC6" w:rsidRDefault="00246BC6" w:rsidP="00246BC6">
      <w:pPr>
        <w:spacing w:line="240" w:lineRule="auto"/>
      </w:pPr>
      <w:r>
        <w:t>At the conclusion of this self-assessment process</w:t>
      </w:r>
      <w:r w:rsidR="00F80032">
        <w:t>, in 2016-2017,</w:t>
      </w:r>
      <w:r>
        <w:t xml:space="preserve"> NOPTA will review the performance measures and metrics which were developed against each of the KPIs to determine their appropriateness and efficacy.  This will inform NOPTA’s approach for reporting against the RPF in the </w:t>
      </w:r>
      <w:r>
        <w:lastRenderedPageBreak/>
        <w:t xml:space="preserve">2016-2017 Annual report of activities and future reports. </w:t>
      </w:r>
      <w:r w:rsidR="00F80032">
        <w:t>The development of this RPF self</w:t>
      </w:r>
      <w:r w:rsidR="00F80032">
        <w:noBreakHyphen/>
      </w:r>
      <w:r>
        <w:t xml:space="preserve">assessment feedback included ideas on how NOPTA could improve its future self-assessments.  </w:t>
      </w:r>
    </w:p>
    <w:p w14:paraId="5F776E5A" w14:textId="344296A8" w:rsidR="00246BC6" w:rsidRDefault="00246BC6" w:rsidP="00246BC6">
      <w:pPr>
        <w:spacing w:line="240" w:lineRule="auto"/>
      </w:pPr>
      <w:r>
        <w:t xml:space="preserve">This includes providing a summary of performance against internal NOPTA KPIs; devising specific strategies for improvements </w:t>
      </w:r>
      <w:r w:rsidR="00F80032">
        <w:t xml:space="preserve">as </w:t>
      </w:r>
      <w:r>
        <w:t xml:space="preserve">identified in the 2016 stakeholder survey; a strategy for human resource development; reference to a strategic needs analysis and documenting baseline performance.  NOPTA will consider this feedback for the 2017 RPF self-assessment. </w:t>
      </w:r>
    </w:p>
    <w:p w14:paraId="0115B072" w14:textId="799A6DA4" w:rsidR="00125B66" w:rsidRDefault="00246BC6" w:rsidP="00246BC6">
      <w:pPr>
        <w:spacing w:line="240" w:lineRule="auto"/>
      </w:pPr>
      <w:r>
        <w:t>NOPTA’s forward work program will be guided by operational requirements, shaped by the 2015 Operational Review of NOPTA, the 2016 stakeholder survey and outcomes of a finalised Offshore Petroleum Resource Management Review</w:t>
      </w:r>
      <w:r>
        <w:rPr>
          <w:rStyle w:val="FootnoteReference"/>
        </w:rPr>
        <w:footnoteReference w:id="30"/>
      </w:r>
      <w:r>
        <w:t>.  This flexible and open approach reflects the continuous improvement objective of the RPF.</w:t>
      </w:r>
      <w:r w:rsidR="00152231">
        <w:t xml:space="preserve"> NOPTA is well positioned to respond consistent with its functions and legislative </w:t>
      </w:r>
      <w:r w:rsidR="0086483C">
        <w:t>obligations.</w:t>
      </w:r>
      <w:r w:rsidR="00152231">
        <w:t xml:space="preserve"> </w:t>
      </w:r>
    </w:p>
    <w:p w14:paraId="49B16F96" w14:textId="77777777" w:rsidR="00453406" w:rsidRDefault="00453406" w:rsidP="00453406">
      <w:pPr>
        <w:spacing w:line="240" w:lineRule="auto"/>
      </w:pPr>
      <w:r>
        <w:t>In 2016-2017 NOPTA intends to work with APPEA to provide more information and clarity to regulated entities as to how NOPTA performs its functions. This includes explaining NOPTA’s information requirements and how this is used.</w:t>
      </w:r>
    </w:p>
    <w:p w14:paraId="75684416" w14:textId="321556CB" w:rsidR="002D1D81" w:rsidRPr="002D1D81" w:rsidRDefault="002D1D81" w:rsidP="00C267D5">
      <w:pPr>
        <w:pStyle w:val="Heading3"/>
      </w:pPr>
      <w:r w:rsidRPr="002D1D81">
        <w:t>2015 Operational Review of NOPTA</w:t>
      </w:r>
    </w:p>
    <w:p w14:paraId="49B01F8B" w14:textId="20024CA3" w:rsidR="002D1D81" w:rsidRPr="008341FF" w:rsidRDefault="004567A8" w:rsidP="00731E3F">
      <w:pPr>
        <w:spacing w:line="240" w:lineRule="auto"/>
      </w:pPr>
      <w:r>
        <w:t xml:space="preserve">The forward work program will include the implementation of the December 2015 Australian Government Response to the 2015 Operational Review of NOPTA. </w:t>
      </w:r>
      <w:r w:rsidR="002D1D81">
        <w:t>This includes considering the following recommendations:</w:t>
      </w:r>
    </w:p>
    <w:p w14:paraId="0EA1CD41" w14:textId="6385EB2D" w:rsidR="00125B66" w:rsidRPr="002D1D81" w:rsidRDefault="00125B66" w:rsidP="00FE0E8B">
      <w:pPr>
        <w:spacing w:line="240" w:lineRule="auto"/>
        <w:rPr>
          <w:i/>
        </w:rPr>
      </w:pPr>
      <w:r w:rsidRPr="002D1D81">
        <w:rPr>
          <w:i/>
        </w:rPr>
        <w:t>Recommendation 4 – That NOPTA, in conjunction with stakeholders, develop and implement short and long term plans to enhance the NEATS system to improve the efficiency and access to titles information.</w:t>
      </w:r>
    </w:p>
    <w:p w14:paraId="704BF6D3" w14:textId="30DEBBF9" w:rsidR="00125B66" w:rsidRPr="0022101B" w:rsidRDefault="00125B66" w:rsidP="00732E64">
      <w:pPr>
        <w:spacing w:line="240" w:lineRule="auto"/>
      </w:pPr>
      <w:r w:rsidRPr="004567A8">
        <w:t xml:space="preserve">The Government accepted this recommendation.  Future improvements in transparency in dealing with title holders can be fostered by increasing the functionality of NEATS through the use of geospatial mapping capability </w:t>
      </w:r>
      <w:r w:rsidR="008577C8" w:rsidRPr="004567A8">
        <w:t>for</w:t>
      </w:r>
      <w:r w:rsidR="008577C8">
        <w:t xml:space="preserve"> Pipelines, </w:t>
      </w:r>
      <w:r w:rsidRPr="004567A8">
        <w:t>Special Prospecting and Access Authorities</w:t>
      </w:r>
      <w:r w:rsidR="00F43B34">
        <w:t>.</w:t>
      </w:r>
      <w:r w:rsidRPr="004567A8">
        <w:t xml:space="preserve"> </w:t>
      </w:r>
    </w:p>
    <w:p w14:paraId="2D48FB8B" w14:textId="77777777" w:rsidR="00125B66" w:rsidRPr="00731E3F" w:rsidRDefault="00125B66" w:rsidP="00732E64">
      <w:pPr>
        <w:spacing w:line="240" w:lineRule="auto"/>
        <w:rPr>
          <w:i/>
        </w:rPr>
      </w:pPr>
      <w:r w:rsidRPr="00731E3F">
        <w:rPr>
          <w:i/>
        </w:rPr>
        <w:t>Recommendation 5 – That NEATS functionality is extended to include more information on the progress of applications through the Joint Authority process.</w:t>
      </w:r>
    </w:p>
    <w:p w14:paraId="63E6E187" w14:textId="346D18C7" w:rsidR="00125B66" w:rsidRPr="00731E3F" w:rsidRDefault="00125B66" w:rsidP="00732E64">
      <w:pPr>
        <w:spacing w:line="240" w:lineRule="auto"/>
      </w:pPr>
      <w:r w:rsidRPr="00731E3F">
        <w:t xml:space="preserve">The Government accepted this recommendation and noted that some of the functionality of NEATS could be promoted more widely with title holders.  The ability to view individual applications confidentially, including which member of the Joint Authority is considering the application, will improve the transparency of NOPTA and the Joint Authority dealings with title holders. </w:t>
      </w:r>
    </w:p>
    <w:p w14:paraId="53E712D5" w14:textId="62CA66BE" w:rsidR="002D1D81" w:rsidRPr="002D1D81" w:rsidRDefault="002D1D81" w:rsidP="00C267D5">
      <w:pPr>
        <w:pStyle w:val="Heading3"/>
      </w:pPr>
      <w:r w:rsidRPr="00731E3F">
        <w:t>2016 Stakeholder Survey</w:t>
      </w:r>
    </w:p>
    <w:p w14:paraId="1565CA4D" w14:textId="667E8D68" w:rsidR="00125B66" w:rsidRDefault="00125B66" w:rsidP="00732E64">
      <w:pPr>
        <w:spacing w:line="240" w:lineRule="auto"/>
      </w:pPr>
      <w:r>
        <w:t>The 2016 stakeholder survey</w:t>
      </w:r>
      <w:r w:rsidR="00C57404">
        <w:t xml:space="preserve"> noted a level of dissatisfaction for the question relating to</w:t>
      </w:r>
      <w:bookmarkStart w:id="63" w:name="_GoBack"/>
      <w:bookmarkEnd w:id="63"/>
      <w:r w:rsidR="00C57404">
        <w:t xml:space="preserve"> ‘</w:t>
      </w:r>
      <w:r w:rsidR="00C57404" w:rsidRPr="00C57404">
        <w:rPr>
          <w:i/>
        </w:rPr>
        <w:t>staff understanding of the operating environment of the oil and gas industry</w:t>
      </w:r>
      <w:r w:rsidR="00C57404">
        <w:t>’ – overall the response was positive but a small minority was somewhat dissatisfied.  Respondents were also less satisfied with NOPTA’s ‘</w:t>
      </w:r>
      <w:r w:rsidR="00C57404" w:rsidRPr="00C57404">
        <w:rPr>
          <w:i/>
        </w:rPr>
        <w:t>level of understanding of the current and emerging issues affecting the oil and gas industry</w:t>
      </w:r>
      <w:r w:rsidR="00C57404">
        <w:t xml:space="preserve">’, with 16 per cent (all of whom were titleholders) indicating that they were somewhat dissatisfied. </w:t>
      </w:r>
      <w:r>
        <w:t xml:space="preserve"> </w:t>
      </w:r>
    </w:p>
    <w:p w14:paraId="317F1668" w14:textId="5892F28B" w:rsidR="00D950EA" w:rsidRPr="00D950EA" w:rsidRDefault="00C57404" w:rsidP="008341FF">
      <w:pPr>
        <w:spacing w:line="240" w:lineRule="auto"/>
      </w:pPr>
      <w:r>
        <w:t xml:space="preserve">NOPTA will be reviewing these results </w:t>
      </w:r>
      <w:r w:rsidR="00823E90">
        <w:t xml:space="preserve">in 2016-17 </w:t>
      </w:r>
      <w:r w:rsidR="00F80032">
        <w:t>and implementing any improvements</w:t>
      </w:r>
      <w:r>
        <w:t>.  The survey also note</w:t>
      </w:r>
      <w:r w:rsidR="00823E90">
        <w:t>s</w:t>
      </w:r>
      <w:r>
        <w:t xml:space="preserve"> that it is plausible that </w:t>
      </w:r>
      <w:r w:rsidR="00823E90">
        <w:t>the</w:t>
      </w:r>
      <w:r>
        <w:t xml:space="preserve"> general tightening of resources within the industry could have had a negative influence of stakeholder perceptions and considered it likely that this influenced stakeholder perceptions of NOPTA in general.  </w:t>
      </w:r>
    </w:p>
    <w:sectPr w:rsidR="00D950EA" w:rsidRPr="00D950EA" w:rsidSect="00176A72">
      <w:headerReference w:type="even" r:id="rId16"/>
      <w:headerReference w:type="default" r:id="rId17"/>
      <w:footerReference w:type="default" r:id="rId18"/>
      <w:headerReference w:type="first" r:id="rId19"/>
      <w:pgSz w:w="11906" w:h="16838"/>
      <w:pgMar w:top="1135" w:right="1440" w:bottom="1276"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D1839" w14:textId="77777777" w:rsidR="009F416D" w:rsidRDefault="009F416D" w:rsidP="002D1FCB">
      <w:pPr>
        <w:spacing w:after="0" w:line="240" w:lineRule="auto"/>
      </w:pPr>
      <w:r>
        <w:separator/>
      </w:r>
    </w:p>
  </w:endnote>
  <w:endnote w:type="continuationSeparator" w:id="0">
    <w:p w14:paraId="27833296" w14:textId="77777777" w:rsidR="009F416D" w:rsidRDefault="009F416D" w:rsidP="002D1FCB">
      <w:pPr>
        <w:spacing w:after="0" w:line="240" w:lineRule="auto"/>
      </w:pPr>
      <w:r>
        <w:continuationSeparator/>
      </w:r>
    </w:p>
  </w:endnote>
  <w:endnote w:type="continuationNotice" w:id="1">
    <w:p w14:paraId="5FD893A9" w14:textId="77777777" w:rsidR="009F416D" w:rsidRDefault="009F41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229A1" w14:textId="77777777" w:rsidR="009F416D" w:rsidRDefault="009F41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36A99" w14:textId="07FDB6D8" w:rsidR="009F416D" w:rsidRDefault="009F416D">
    <w:pPr>
      <w:pStyle w:val="Footer"/>
      <w:jc w:val="right"/>
    </w:pPr>
  </w:p>
  <w:p w14:paraId="37C4705E" w14:textId="77777777" w:rsidR="009F416D" w:rsidRDefault="009F41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7C798" w14:textId="77777777" w:rsidR="009F416D" w:rsidRDefault="009F416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2746080"/>
      <w:docPartObj>
        <w:docPartGallery w:val="Page Numbers (Bottom of Page)"/>
        <w:docPartUnique/>
      </w:docPartObj>
    </w:sdtPr>
    <w:sdtContent>
      <w:sdt>
        <w:sdtPr>
          <w:id w:val="1903554851"/>
          <w:docPartObj>
            <w:docPartGallery w:val="Page Numbers (Top of Page)"/>
            <w:docPartUnique/>
          </w:docPartObj>
        </w:sdtPr>
        <w:sdtContent>
          <w:p w14:paraId="1A394ADE" w14:textId="38E5BA19" w:rsidR="009F416D" w:rsidRDefault="009F416D">
            <w:pPr>
              <w:pStyle w:val="Footer"/>
              <w:jc w:val="right"/>
            </w:pPr>
            <w:r w:rsidRPr="00176A72">
              <w:rPr>
                <w:sz w:val="18"/>
                <w:szCs w:val="18"/>
              </w:rPr>
              <w:t xml:space="preserve">Page </w:t>
            </w:r>
            <w:r w:rsidRPr="00176A72">
              <w:rPr>
                <w:b/>
                <w:bCs/>
                <w:sz w:val="18"/>
                <w:szCs w:val="18"/>
              </w:rPr>
              <w:fldChar w:fldCharType="begin"/>
            </w:r>
            <w:r w:rsidRPr="00176A72">
              <w:rPr>
                <w:b/>
                <w:bCs/>
                <w:sz w:val="18"/>
                <w:szCs w:val="18"/>
              </w:rPr>
              <w:instrText xml:space="preserve"> PAGE </w:instrText>
            </w:r>
            <w:r w:rsidRPr="00176A72">
              <w:rPr>
                <w:b/>
                <w:bCs/>
                <w:sz w:val="18"/>
                <w:szCs w:val="18"/>
              </w:rPr>
              <w:fldChar w:fldCharType="separate"/>
            </w:r>
            <w:r w:rsidR="000F47E1">
              <w:rPr>
                <w:b/>
                <w:bCs/>
                <w:noProof/>
                <w:sz w:val="18"/>
                <w:szCs w:val="18"/>
              </w:rPr>
              <w:t>20</w:t>
            </w:r>
            <w:r w:rsidRPr="00176A72">
              <w:rPr>
                <w:b/>
                <w:bCs/>
                <w:sz w:val="18"/>
                <w:szCs w:val="18"/>
              </w:rPr>
              <w:fldChar w:fldCharType="end"/>
            </w:r>
            <w:r w:rsidRPr="00176A72">
              <w:rPr>
                <w:sz w:val="18"/>
                <w:szCs w:val="18"/>
              </w:rPr>
              <w:t xml:space="preserve"> of </w:t>
            </w:r>
            <w:r>
              <w:rPr>
                <w:b/>
                <w:bCs/>
                <w:sz w:val="18"/>
                <w:szCs w:val="18"/>
              </w:rPr>
              <w:t>24</w:t>
            </w:r>
          </w:p>
        </w:sdtContent>
      </w:sdt>
    </w:sdtContent>
  </w:sdt>
  <w:p w14:paraId="22F9EBCF" w14:textId="77777777" w:rsidR="009F416D" w:rsidRDefault="009F41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A339B" w14:textId="77777777" w:rsidR="009F416D" w:rsidRDefault="009F416D" w:rsidP="002D1FCB">
      <w:pPr>
        <w:spacing w:after="0" w:line="240" w:lineRule="auto"/>
      </w:pPr>
      <w:r>
        <w:separator/>
      </w:r>
    </w:p>
  </w:footnote>
  <w:footnote w:type="continuationSeparator" w:id="0">
    <w:p w14:paraId="41E8F7C7" w14:textId="77777777" w:rsidR="009F416D" w:rsidRDefault="009F416D" w:rsidP="002D1FCB">
      <w:pPr>
        <w:spacing w:after="0" w:line="240" w:lineRule="auto"/>
      </w:pPr>
      <w:r>
        <w:continuationSeparator/>
      </w:r>
    </w:p>
  </w:footnote>
  <w:footnote w:type="continuationNotice" w:id="1">
    <w:p w14:paraId="58A3FAE6" w14:textId="77777777" w:rsidR="009F416D" w:rsidRDefault="009F416D">
      <w:pPr>
        <w:spacing w:after="0" w:line="240" w:lineRule="auto"/>
      </w:pPr>
    </w:p>
  </w:footnote>
  <w:footnote w:id="2">
    <w:p w14:paraId="5096ABFE" w14:textId="7A5D3757" w:rsidR="009F416D" w:rsidRPr="0055095D" w:rsidRDefault="009F416D" w:rsidP="00F22CA4">
      <w:pPr>
        <w:pStyle w:val="FootnoteText"/>
        <w:rPr>
          <w:sz w:val="18"/>
          <w:szCs w:val="18"/>
        </w:rPr>
      </w:pPr>
      <w:r w:rsidRPr="0055095D">
        <w:rPr>
          <w:rStyle w:val="FootnoteReference"/>
          <w:sz w:val="18"/>
          <w:szCs w:val="18"/>
        </w:rPr>
        <w:footnoteRef/>
      </w:r>
      <w:hyperlink r:id="rId1" w:tooltip="Offshore Petroleum Regulatory Regime" w:history="1">
        <w:r w:rsidRPr="00C94169">
          <w:rPr>
            <w:rStyle w:val="Hyperlink"/>
          </w:rPr>
          <w:t>http://industry.gov.au/resource/UpstreamPetroleum/OffshorePetroleumRegulatoryRegime/Pages/default.aspx</w:t>
        </w:r>
      </w:hyperlink>
      <w:r w:rsidRPr="0055095D">
        <w:rPr>
          <w:sz w:val="18"/>
          <w:szCs w:val="18"/>
        </w:rPr>
        <w:t xml:space="preserve"> </w:t>
      </w:r>
    </w:p>
  </w:footnote>
  <w:footnote w:id="3">
    <w:p w14:paraId="3F512031" w14:textId="77777777" w:rsidR="009F416D" w:rsidRPr="0055095D" w:rsidRDefault="009F416D" w:rsidP="00F22CA4">
      <w:pPr>
        <w:spacing w:after="0" w:line="240" w:lineRule="auto"/>
        <w:rPr>
          <w:sz w:val="18"/>
          <w:szCs w:val="18"/>
          <w:lang w:val="en"/>
        </w:rPr>
      </w:pPr>
      <w:r w:rsidRPr="0055095D">
        <w:rPr>
          <w:rStyle w:val="FootnoteReference"/>
          <w:sz w:val="18"/>
          <w:szCs w:val="18"/>
        </w:rPr>
        <w:footnoteRef/>
      </w:r>
      <w:r w:rsidRPr="0055095D">
        <w:rPr>
          <w:sz w:val="18"/>
          <w:szCs w:val="18"/>
        </w:rPr>
        <w:t xml:space="preserve"> </w:t>
      </w:r>
      <w:r w:rsidRPr="00C02989">
        <w:rPr>
          <w:sz w:val="20"/>
          <w:szCs w:val="20"/>
          <w:lang w:val="en"/>
        </w:rPr>
        <w:t>T</w:t>
      </w:r>
      <w:r w:rsidRPr="00C02989">
        <w:rPr>
          <w:sz w:val="20"/>
          <w:szCs w:val="20"/>
        </w:rPr>
        <w:t>he Offshore Petroleum and Greenhouse Gas Storage Amendment (National Regulator) Bill 2011 amended the OPGGS Act to establish NOPTA and expand the former National Offshore Petroleum Safety Authority to become the NOPSEMA.</w:t>
      </w:r>
    </w:p>
  </w:footnote>
  <w:footnote w:id="4">
    <w:p w14:paraId="264CC760" w14:textId="09CF40AE" w:rsidR="009F416D" w:rsidRPr="00C02989" w:rsidRDefault="009F416D" w:rsidP="00F22CA4">
      <w:pPr>
        <w:pStyle w:val="FootnoteText"/>
      </w:pPr>
      <w:r w:rsidRPr="00E82341">
        <w:rPr>
          <w:rStyle w:val="FootnoteReference"/>
          <w:sz w:val="18"/>
          <w:szCs w:val="18"/>
        </w:rPr>
        <w:footnoteRef/>
      </w:r>
      <w:r w:rsidRPr="00E82341">
        <w:rPr>
          <w:sz w:val="18"/>
          <w:szCs w:val="18"/>
        </w:rPr>
        <w:t xml:space="preserve"> </w:t>
      </w:r>
      <w:hyperlink r:id="rId2" w:tooltip="Upstream petroleum" w:history="1">
        <w:r w:rsidRPr="00C02989">
          <w:rPr>
            <w:rStyle w:val="Hyperlink"/>
          </w:rPr>
          <w:t>http://www.pc.gov.au/inquiries/completed/upstream-petroleum/report</w:t>
        </w:r>
      </w:hyperlink>
      <w:r w:rsidRPr="00C02989">
        <w:t xml:space="preserve"> accessed 7 June 2016.</w:t>
      </w:r>
    </w:p>
  </w:footnote>
  <w:footnote w:id="5">
    <w:p w14:paraId="6A8983F7" w14:textId="28AA1760" w:rsidR="009F416D" w:rsidRPr="00E82341" w:rsidRDefault="009F416D" w:rsidP="00F22CA4">
      <w:pPr>
        <w:pStyle w:val="FootnoteText"/>
        <w:rPr>
          <w:sz w:val="18"/>
          <w:szCs w:val="18"/>
        </w:rPr>
      </w:pPr>
      <w:r w:rsidRPr="00E82341">
        <w:rPr>
          <w:rStyle w:val="FootnoteReference"/>
          <w:sz w:val="18"/>
          <w:szCs w:val="18"/>
        </w:rPr>
        <w:footnoteRef/>
      </w:r>
      <w:r w:rsidRPr="00E82341">
        <w:rPr>
          <w:sz w:val="18"/>
          <w:szCs w:val="18"/>
        </w:rPr>
        <w:t xml:space="preserve"> </w:t>
      </w:r>
      <w:hyperlink r:id="rId3" w:tooltip="Montara Inquiry Response" w:history="1">
        <w:r w:rsidRPr="00C02989">
          <w:rPr>
            <w:rStyle w:val="Hyperlink"/>
          </w:rPr>
          <w:t>http://industry.gov.au/resource/UpstreamPetroleum/MontaraInquiryResponse/Pages/default.aspx</w:t>
        </w:r>
      </w:hyperlink>
      <w:r w:rsidRPr="00E82341">
        <w:rPr>
          <w:sz w:val="18"/>
          <w:szCs w:val="18"/>
        </w:rPr>
        <w:t xml:space="preserve"> </w:t>
      </w:r>
    </w:p>
  </w:footnote>
  <w:footnote w:id="6">
    <w:p w14:paraId="38988F9F" w14:textId="1AB6BEF0" w:rsidR="009F416D" w:rsidRDefault="009F416D" w:rsidP="00F22CA4">
      <w:pPr>
        <w:pStyle w:val="FootnoteText"/>
      </w:pPr>
      <w:r w:rsidRPr="000E48F3">
        <w:rPr>
          <w:rStyle w:val="FootnoteReference"/>
          <w:sz w:val="18"/>
        </w:rPr>
        <w:footnoteRef/>
      </w:r>
      <w:r w:rsidRPr="000E48F3">
        <w:rPr>
          <w:sz w:val="18"/>
        </w:rPr>
        <w:t xml:space="preserve"> </w:t>
      </w:r>
      <w:hyperlink r:id="rId4" w:tooltip="NOPTA Stakeholder Survy" w:history="1">
        <w:r w:rsidRPr="00D00E47">
          <w:rPr>
            <w:rStyle w:val="Hyperlink"/>
          </w:rPr>
          <w:t>http://www.nopta.gov.au/media/stakeholder-survey/index.html</w:t>
        </w:r>
      </w:hyperlink>
      <w:r w:rsidRPr="000E48F3">
        <w:rPr>
          <w:sz w:val="18"/>
        </w:rPr>
        <w:t xml:space="preserve"> </w:t>
      </w:r>
    </w:p>
  </w:footnote>
  <w:footnote w:id="7">
    <w:p w14:paraId="4FCA8806" w14:textId="69B449A1" w:rsidR="009F416D" w:rsidRDefault="009F416D" w:rsidP="00F22CA4">
      <w:pPr>
        <w:pStyle w:val="FootnoteText"/>
      </w:pPr>
      <w:r>
        <w:rPr>
          <w:rStyle w:val="FootnoteReference"/>
        </w:rPr>
        <w:footnoteRef/>
      </w:r>
      <w:r>
        <w:t xml:space="preserve"> </w:t>
      </w:r>
      <w:hyperlink r:id="rId5" w:tooltip="NOPTA Stakeholder Survy" w:history="1">
        <w:r w:rsidR="000F47E1" w:rsidRPr="00D00E47">
          <w:rPr>
            <w:rStyle w:val="Hyperlink"/>
          </w:rPr>
          <w:t>http://www.nopta.gov.au/media/stakeholder-survey/index.html</w:t>
        </w:r>
      </w:hyperlink>
      <w:r>
        <w:t xml:space="preserve"> </w:t>
      </w:r>
    </w:p>
  </w:footnote>
  <w:footnote w:id="8">
    <w:p w14:paraId="27D1300A" w14:textId="69F7BD36" w:rsidR="009F416D" w:rsidRDefault="009F416D" w:rsidP="00F22CA4">
      <w:pPr>
        <w:pStyle w:val="FootnoteText"/>
      </w:pPr>
      <w:r>
        <w:rPr>
          <w:rStyle w:val="FootnoteReference"/>
        </w:rPr>
        <w:footnoteRef/>
      </w:r>
      <w:r>
        <w:t xml:space="preserve"> </w:t>
      </w:r>
      <w:hyperlink r:id="rId6" w:tooltip="NOPTA Operational Review" w:history="1">
        <w:r w:rsidRPr="00D00E47">
          <w:rPr>
            <w:rStyle w:val="Hyperlink"/>
          </w:rPr>
          <w:t>http://www.nopta.gov.au/media/operational-review/in</w:t>
        </w:r>
        <w:r w:rsidRPr="00D00E47">
          <w:rPr>
            <w:rStyle w:val="Hyperlink"/>
          </w:rPr>
          <w:t>d</w:t>
        </w:r>
        <w:r w:rsidRPr="00D00E47">
          <w:rPr>
            <w:rStyle w:val="Hyperlink"/>
          </w:rPr>
          <w:t>ex.html</w:t>
        </w:r>
      </w:hyperlink>
    </w:p>
  </w:footnote>
  <w:footnote w:id="9">
    <w:p w14:paraId="473B488A" w14:textId="43056EF5" w:rsidR="009F416D" w:rsidRDefault="009F416D">
      <w:pPr>
        <w:pStyle w:val="FootnoteText"/>
      </w:pPr>
      <w:r>
        <w:rPr>
          <w:rStyle w:val="FootnoteReference"/>
        </w:rPr>
        <w:footnoteRef/>
      </w:r>
      <w:r>
        <w:t xml:space="preserve"> </w:t>
      </w:r>
      <w:hyperlink r:id="rId7" w:tooltip="Regulator Performance Framework" w:history="1">
        <w:r w:rsidRPr="0079078B">
          <w:rPr>
            <w:rStyle w:val="Hyperlink"/>
          </w:rPr>
          <w:t>https://www.cuttingredtape.gov.au</w:t>
        </w:r>
        <w:r w:rsidRPr="0079078B">
          <w:rPr>
            <w:rStyle w:val="Hyperlink"/>
          </w:rPr>
          <w:t>/</w:t>
        </w:r>
        <w:r w:rsidRPr="0079078B">
          <w:rPr>
            <w:rStyle w:val="Hyperlink"/>
          </w:rPr>
          <w:t>resources/rpf</w:t>
        </w:r>
      </w:hyperlink>
      <w:r>
        <w:t xml:space="preserve"> </w:t>
      </w:r>
    </w:p>
  </w:footnote>
  <w:footnote w:id="10">
    <w:p w14:paraId="1F9362DF" w14:textId="33A7D789" w:rsidR="009F416D" w:rsidRPr="002610F8" w:rsidRDefault="009F416D" w:rsidP="00823E90">
      <w:pPr>
        <w:pStyle w:val="FootnoteText"/>
        <w:rPr>
          <w:sz w:val="16"/>
          <w:szCs w:val="16"/>
        </w:rPr>
      </w:pPr>
      <w:r>
        <w:rPr>
          <w:rStyle w:val="FootnoteReference"/>
        </w:rPr>
        <w:footnoteRef/>
      </w:r>
      <w:r>
        <w:t xml:space="preserve"> </w:t>
      </w:r>
      <w:r w:rsidRPr="00D56857">
        <w:t xml:space="preserve">The inaugural Annual report of activities was for </w:t>
      </w:r>
      <w:r w:rsidRPr="00334147">
        <w:t xml:space="preserve">the </w:t>
      </w:r>
      <w:r w:rsidRPr="0008769C">
        <w:t>2014-15 period</w:t>
      </w:r>
      <w:r w:rsidRPr="00D56857">
        <w:t xml:space="preserve"> see </w:t>
      </w:r>
      <w:hyperlink r:id="rId8" w:tooltip="NOPTA Activities Report" w:history="1">
        <w:r w:rsidRPr="00D56857">
          <w:rPr>
            <w:rStyle w:val="Hyperlink"/>
          </w:rPr>
          <w:t>http://www.nopta.gov.au/media/activities-report/index.html</w:t>
        </w:r>
      </w:hyperlink>
      <w:r w:rsidRPr="00D56857">
        <w:t>.</w:t>
      </w:r>
      <w:r>
        <w:rPr>
          <w:sz w:val="16"/>
          <w:szCs w:val="16"/>
        </w:rPr>
        <w:t xml:space="preserve"> </w:t>
      </w:r>
    </w:p>
  </w:footnote>
  <w:footnote w:id="11">
    <w:p w14:paraId="06E1BDB6" w14:textId="40AE837A" w:rsidR="009F416D" w:rsidRDefault="009F416D">
      <w:pPr>
        <w:pStyle w:val="FootnoteText"/>
      </w:pPr>
      <w:r>
        <w:rPr>
          <w:rStyle w:val="FootnoteReference"/>
        </w:rPr>
        <w:footnoteRef/>
      </w:r>
      <w:r>
        <w:t xml:space="preserve"> </w:t>
      </w:r>
      <w:hyperlink r:id="rId9" w:tooltip="NOPTA Stakeholder Survey" w:history="1">
        <w:r w:rsidRPr="0062313A">
          <w:rPr>
            <w:rStyle w:val="Hyperlink"/>
          </w:rPr>
          <w:t>http://www.nopta.gov.au/media/stakeholder-survey/index.html</w:t>
        </w:r>
      </w:hyperlink>
      <w:r>
        <w:t xml:space="preserve"> </w:t>
      </w:r>
    </w:p>
  </w:footnote>
  <w:footnote w:id="12">
    <w:p w14:paraId="2B0AFC94" w14:textId="77777777" w:rsidR="009F416D" w:rsidRDefault="009F416D" w:rsidP="00ED49DA">
      <w:pPr>
        <w:pStyle w:val="FootnoteText"/>
      </w:pPr>
      <w:r>
        <w:rPr>
          <w:rStyle w:val="FootnoteReference"/>
        </w:rPr>
        <w:footnoteRef/>
      </w:r>
      <w:r>
        <w:t xml:space="preserve"> As above.</w:t>
      </w:r>
    </w:p>
  </w:footnote>
  <w:footnote w:id="13">
    <w:p w14:paraId="3DE51FA4" w14:textId="77777777" w:rsidR="009F416D" w:rsidRDefault="009F416D" w:rsidP="00094817">
      <w:pPr>
        <w:pStyle w:val="FootnoteText"/>
      </w:pPr>
      <w:r>
        <w:rPr>
          <w:rStyle w:val="FootnoteReference"/>
        </w:rPr>
        <w:footnoteRef/>
      </w:r>
      <w:r>
        <w:t xml:space="preserve"> As above.</w:t>
      </w:r>
    </w:p>
  </w:footnote>
  <w:footnote w:id="14">
    <w:p w14:paraId="42C8AF86" w14:textId="77777777" w:rsidR="009F416D" w:rsidRDefault="009F416D" w:rsidP="003E31DD">
      <w:pPr>
        <w:pStyle w:val="FootnoteText"/>
      </w:pPr>
      <w:r>
        <w:rPr>
          <w:rStyle w:val="FootnoteReference"/>
        </w:rPr>
        <w:footnoteRef/>
      </w:r>
      <w:r>
        <w:t xml:space="preserve"> This includes decisions such as the grant, renewal, suspension or cancellation of titles.</w:t>
      </w:r>
    </w:p>
  </w:footnote>
  <w:footnote w:id="15">
    <w:p w14:paraId="28029108" w14:textId="77777777" w:rsidR="009F416D" w:rsidRPr="00BF0AEC" w:rsidRDefault="009F416D" w:rsidP="003E31DD">
      <w:pPr>
        <w:pStyle w:val="FootnoteText"/>
      </w:pPr>
      <w:r>
        <w:rPr>
          <w:rStyle w:val="FootnoteReference"/>
        </w:rPr>
        <w:footnoteRef/>
      </w:r>
      <w:r>
        <w:t xml:space="preserve"> Figures derived from an internal analysis by NOPTA.  Total agreement is 90 per cent where aspects of a decision differ from the NOPTA recommendation in terms of the types of conditions imposed or the timings of a decision. </w:t>
      </w:r>
      <w:r w:rsidRPr="00BF0AEC">
        <w:t xml:space="preserve">i.e. the 96 per cent figure only counts agreement with NOPTA decision recommendations not NOPTA recommendations on timings for extensions, for example, or content of conditions.  </w:t>
      </w:r>
    </w:p>
  </w:footnote>
  <w:footnote w:id="16">
    <w:p w14:paraId="595074ED" w14:textId="1AA9564E" w:rsidR="009F416D" w:rsidRPr="00FE0E8B" w:rsidRDefault="009F416D" w:rsidP="00BF0AEC">
      <w:pPr>
        <w:spacing w:line="240" w:lineRule="auto"/>
        <w:rPr>
          <w:sz w:val="20"/>
          <w:szCs w:val="20"/>
        </w:rPr>
      </w:pPr>
      <w:r w:rsidRPr="00FE0E8B">
        <w:rPr>
          <w:rStyle w:val="FootnoteReference"/>
          <w:sz w:val="20"/>
          <w:szCs w:val="20"/>
        </w:rPr>
        <w:footnoteRef/>
      </w:r>
      <w:r w:rsidRPr="00FE0E8B">
        <w:rPr>
          <w:sz w:val="20"/>
          <w:szCs w:val="20"/>
        </w:rPr>
        <w:t xml:space="preserve"> Further information available at </w:t>
      </w:r>
      <w:hyperlink r:id="rId10" w:tooltip="NOPTA Reporting Templates" w:history="1">
        <w:r w:rsidRPr="00FE0E8B">
          <w:rPr>
            <w:rStyle w:val="Hyperlink"/>
            <w:sz w:val="20"/>
            <w:szCs w:val="20"/>
          </w:rPr>
          <w:t>http://www.nopta.gov.au/forms/t</w:t>
        </w:r>
        <w:r w:rsidRPr="00FE0E8B">
          <w:rPr>
            <w:rStyle w:val="Hyperlink"/>
            <w:sz w:val="20"/>
            <w:szCs w:val="20"/>
          </w:rPr>
          <w:t>e</w:t>
        </w:r>
        <w:r w:rsidRPr="00FE0E8B">
          <w:rPr>
            <w:rStyle w:val="Hyperlink"/>
            <w:sz w:val="20"/>
            <w:szCs w:val="20"/>
          </w:rPr>
          <w:t>mplates.html</w:t>
        </w:r>
      </w:hyperlink>
    </w:p>
    <w:p w14:paraId="434A2782" w14:textId="702D954F" w:rsidR="009F416D" w:rsidRDefault="009F416D">
      <w:pPr>
        <w:pStyle w:val="FootnoteText"/>
      </w:pPr>
    </w:p>
  </w:footnote>
  <w:footnote w:id="17">
    <w:p w14:paraId="5B859EC6" w14:textId="3809D0F4" w:rsidR="009F416D" w:rsidRDefault="009F416D">
      <w:pPr>
        <w:pStyle w:val="FootnoteText"/>
      </w:pPr>
      <w:r>
        <w:rPr>
          <w:rStyle w:val="FootnoteReference"/>
        </w:rPr>
        <w:footnoteRef/>
      </w:r>
      <w:r>
        <w:t xml:space="preserve"> </w:t>
      </w:r>
      <w:r w:rsidRPr="00AF76A5">
        <w:rPr>
          <w:lang w:val="en-US"/>
        </w:rPr>
        <w:t>Norwegian Petroleum Directorate, the United Kingdom’s Department of Energy &amp; Climate Change and the Canada-Newfoundland and Labrador Offshore Petroleum Board</w:t>
      </w:r>
      <w:r>
        <w:rPr>
          <w:lang w:val="en-US"/>
        </w:rPr>
        <w:t>.</w:t>
      </w:r>
    </w:p>
  </w:footnote>
  <w:footnote w:id="18">
    <w:p w14:paraId="694BA71A" w14:textId="294A3966" w:rsidR="009F416D" w:rsidRDefault="009F416D">
      <w:pPr>
        <w:pStyle w:val="FootnoteText"/>
      </w:pPr>
      <w:r>
        <w:rPr>
          <w:rStyle w:val="FootnoteReference"/>
        </w:rPr>
        <w:footnoteRef/>
      </w:r>
      <w:r>
        <w:t xml:space="preserve"> The percentages amalgamate ‘very satisfied’ and ‘somewhat satisfied’ results.  Refer to the 2016 stakeholder survey available at </w:t>
      </w:r>
      <w:hyperlink r:id="rId11" w:tooltip="NOPTA website" w:history="1">
        <w:r w:rsidRPr="003639F7">
          <w:rPr>
            <w:rStyle w:val="Hyperlink"/>
          </w:rPr>
          <w:t>www.nopta.gov.au</w:t>
        </w:r>
      </w:hyperlink>
      <w:r>
        <w:t xml:space="preserve"> for further details. </w:t>
      </w:r>
    </w:p>
  </w:footnote>
  <w:footnote w:id="19">
    <w:p w14:paraId="545843BB" w14:textId="2F51B7B5" w:rsidR="009F416D" w:rsidRDefault="009F416D">
      <w:pPr>
        <w:pStyle w:val="FootnoteText"/>
      </w:pPr>
      <w:r>
        <w:rPr>
          <w:rStyle w:val="FootnoteReference"/>
        </w:rPr>
        <w:footnoteRef/>
      </w:r>
      <w:r>
        <w:t xml:space="preserve"> As above.</w:t>
      </w:r>
    </w:p>
  </w:footnote>
  <w:footnote w:id="20">
    <w:p w14:paraId="75725502" w14:textId="66396C17" w:rsidR="009F416D" w:rsidRDefault="009F416D">
      <w:pPr>
        <w:pStyle w:val="FootnoteText"/>
      </w:pPr>
      <w:r>
        <w:rPr>
          <w:rStyle w:val="FootnoteReference"/>
        </w:rPr>
        <w:footnoteRef/>
      </w:r>
      <w:r>
        <w:t xml:space="preserve"> </w:t>
      </w:r>
      <w:r w:rsidRPr="00FE0E8B">
        <w:t>The RDI includes industry and government stakeholders such as the States and Territories, the Offshore Resources Branch and other Commonwealth departments (including the Department of the Prime Minister and Cabinet and the Department of Environment)</w:t>
      </w:r>
    </w:p>
  </w:footnote>
  <w:footnote w:id="21">
    <w:p w14:paraId="7C52AD81" w14:textId="264C8A7F" w:rsidR="009F416D" w:rsidRDefault="009F416D" w:rsidP="00CE0D20">
      <w:pPr>
        <w:pStyle w:val="FootnoteText"/>
      </w:pPr>
      <w:r>
        <w:rPr>
          <w:rStyle w:val="FootnoteReference"/>
        </w:rPr>
        <w:footnoteRef/>
      </w:r>
      <w:r>
        <w:t xml:space="preserve"> See note 18.</w:t>
      </w:r>
    </w:p>
  </w:footnote>
  <w:footnote w:id="22">
    <w:p w14:paraId="6CAF8787" w14:textId="390DBDCB" w:rsidR="009F416D" w:rsidRDefault="009F416D">
      <w:pPr>
        <w:pStyle w:val="FootnoteText"/>
      </w:pPr>
      <w:r>
        <w:rPr>
          <w:rStyle w:val="FootnoteReference"/>
        </w:rPr>
        <w:footnoteRef/>
      </w:r>
      <w:r>
        <w:t xml:space="preserve"> 44 per cent, excluding accessing the NOPTA website</w:t>
      </w:r>
    </w:p>
  </w:footnote>
  <w:footnote w:id="23">
    <w:p w14:paraId="11FCDC62" w14:textId="0132110B" w:rsidR="009F416D" w:rsidRDefault="009F416D">
      <w:pPr>
        <w:pStyle w:val="FootnoteText"/>
      </w:pPr>
      <w:r>
        <w:rPr>
          <w:rStyle w:val="FootnoteReference"/>
        </w:rPr>
        <w:footnoteRef/>
      </w:r>
      <w:r>
        <w:t xml:space="preserve"> See note 1 </w:t>
      </w:r>
    </w:p>
  </w:footnote>
  <w:footnote w:id="24">
    <w:p w14:paraId="4A918893" w14:textId="59E02CBF" w:rsidR="009F416D" w:rsidRDefault="009F416D">
      <w:pPr>
        <w:pStyle w:val="FootnoteText"/>
      </w:pPr>
      <w:r>
        <w:rPr>
          <w:rStyle w:val="FootnoteReference"/>
        </w:rPr>
        <w:footnoteRef/>
      </w:r>
      <w:r>
        <w:t xml:space="preserve"> </w:t>
      </w:r>
      <w:hyperlink r:id="rId12" w:tooltip="NOPTA Compliance" w:history="1">
        <w:r w:rsidRPr="0062313A">
          <w:rPr>
            <w:rStyle w:val="Hyperlink"/>
          </w:rPr>
          <w:t>http://www.nopta.gov.au/compliance</w:t>
        </w:r>
        <w:r w:rsidRPr="0062313A">
          <w:rPr>
            <w:rStyle w:val="Hyperlink"/>
          </w:rPr>
          <w:t>/</w:t>
        </w:r>
        <w:r w:rsidRPr="0062313A">
          <w:rPr>
            <w:rStyle w:val="Hyperlink"/>
          </w:rPr>
          <w:t>index.html</w:t>
        </w:r>
      </w:hyperlink>
      <w:r>
        <w:t xml:space="preserve"> </w:t>
      </w:r>
    </w:p>
  </w:footnote>
  <w:footnote w:id="25">
    <w:p w14:paraId="5FEFB6E7" w14:textId="41BA52A3" w:rsidR="009F416D" w:rsidRDefault="009F416D" w:rsidP="00330864">
      <w:pPr>
        <w:pStyle w:val="FootnoteText"/>
      </w:pPr>
      <w:r>
        <w:rPr>
          <w:rStyle w:val="FootnoteReference"/>
        </w:rPr>
        <w:footnoteRef/>
      </w:r>
      <w:r>
        <w:t xml:space="preserve"> 95 per cent, 98 per cent and 98 per cent respectively judge NOPTA on these elements ‘to a great extent’ and ‘to some extent’.</w:t>
      </w:r>
    </w:p>
  </w:footnote>
  <w:footnote w:id="26">
    <w:p w14:paraId="18E33F39" w14:textId="77777777" w:rsidR="009F416D" w:rsidRDefault="009F416D" w:rsidP="00C44676">
      <w:pPr>
        <w:pStyle w:val="FootnoteText"/>
      </w:pPr>
      <w:r>
        <w:rPr>
          <w:rStyle w:val="FootnoteReference"/>
        </w:rPr>
        <w:footnoteRef/>
      </w:r>
      <w:r>
        <w:t xml:space="preserve"> 78, 81 and 89 per cent respectively on these three elements.</w:t>
      </w:r>
    </w:p>
  </w:footnote>
  <w:footnote w:id="27">
    <w:p w14:paraId="511610DB" w14:textId="11DDC298" w:rsidR="009F416D" w:rsidRDefault="009F416D">
      <w:pPr>
        <w:pStyle w:val="FootnoteText"/>
      </w:pPr>
      <w:r>
        <w:rPr>
          <w:rStyle w:val="FootnoteReference"/>
        </w:rPr>
        <w:footnoteRef/>
      </w:r>
      <w:r>
        <w:t xml:space="preserve"> 92, 91, 92 and 92 per cent respectively for these elements.</w:t>
      </w:r>
    </w:p>
  </w:footnote>
  <w:footnote w:id="28">
    <w:p w14:paraId="79D1856F" w14:textId="27EAC23C" w:rsidR="009F416D" w:rsidRDefault="009F416D">
      <w:pPr>
        <w:pStyle w:val="FootnoteText"/>
      </w:pPr>
      <w:r>
        <w:rPr>
          <w:rStyle w:val="FootnoteReference"/>
        </w:rPr>
        <w:footnoteRef/>
      </w:r>
      <w:r>
        <w:t xml:space="preserve"> 41 per cent ‘to a great extent’ and 57 per cent ‘to some extent’.</w:t>
      </w:r>
    </w:p>
  </w:footnote>
  <w:footnote w:id="29">
    <w:p w14:paraId="7F817959" w14:textId="40348350" w:rsidR="009F416D" w:rsidRDefault="009F416D">
      <w:pPr>
        <w:pStyle w:val="FootnoteText"/>
      </w:pPr>
      <w:r>
        <w:rPr>
          <w:rStyle w:val="FootnoteReference"/>
        </w:rPr>
        <w:footnoteRef/>
      </w:r>
      <w:r>
        <w:t xml:space="preserve"> See ‘NOPTA’s Implementation of the RPF’ </w:t>
      </w:r>
    </w:p>
  </w:footnote>
  <w:footnote w:id="30">
    <w:p w14:paraId="2FC1C101" w14:textId="16010C09" w:rsidR="009F416D" w:rsidRDefault="009F416D" w:rsidP="00246BC6">
      <w:pPr>
        <w:pStyle w:val="FootnoteText"/>
      </w:pPr>
      <w:r>
        <w:rPr>
          <w:rStyle w:val="FootnoteReference"/>
        </w:rPr>
        <w:footnoteRef/>
      </w:r>
      <w:r>
        <w:t xml:space="preserve"> </w:t>
      </w:r>
      <w:r w:rsidRPr="001E03DC">
        <w:t xml:space="preserve">The </w:t>
      </w:r>
      <w:r>
        <w:t>‘</w:t>
      </w:r>
      <w:r w:rsidRPr="001E03DC">
        <w:t>Offshore Petroleum Resource Management Review – Interim Report</w:t>
      </w:r>
      <w:r>
        <w:t>’</w:t>
      </w:r>
      <w:r w:rsidRPr="001E03DC">
        <w:t xml:space="preserve"> November 2015</w:t>
      </w:r>
      <w:r>
        <w:t xml:space="preserve"> available at </w:t>
      </w:r>
      <w:hyperlink r:id="rId13" w:tooltip="Offshore Petroleum Resources Management Review" w:history="1">
        <w:r w:rsidRPr="003639F7">
          <w:rPr>
            <w:rStyle w:val="Hyperlink"/>
          </w:rPr>
          <w:t>http://www.industry.gov.au/resource/UpstreamPetroleum/Pages/Offshore-Petroleum-Resources-Management-Review.aspx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6E02D" w14:textId="77777777" w:rsidR="009F416D" w:rsidRDefault="009F41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30DAA" w14:textId="77777777" w:rsidR="009F416D" w:rsidRDefault="009F41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CA003" w14:textId="77777777" w:rsidR="009F416D" w:rsidRDefault="009F416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6EE13" w14:textId="6BDCFC39" w:rsidR="009F416D" w:rsidRDefault="009F416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52B1E" w14:textId="17C50A40" w:rsidR="009F416D" w:rsidRDefault="009F416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6E342" w14:textId="190EE7BD" w:rsidR="009F416D" w:rsidRDefault="009F41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E11"/>
    <w:multiLevelType w:val="hybridMultilevel"/>
    <w:tmpl w:val="C908CAC8"/>
    <w:lvl w:ilvl="0" w:tplc="37926406">
      <w:numFmt w:val="bullet"/>
      <w:lvlText w:val="•"/>
      <w:lvlJc w:val="left"/>
      <w:pPr>
        <w:ind w:left="720" w:hanging="360"/>
      </w:pPr>
      <w:rPr>
        <w:rFonts w:ascii="Calibri" w:eastAsiaTheme="minorHAnsi" w:hAnsi="Calibri" w:cstheme="minorBidi"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E22C9E"/>
    <w:multiLevelType w:val="hybridMultilevel"/>
    <w:tmpl w:val="DC44DBB4"/>
    <w:lvl w:ilvl="0" w:tplc="5078A1A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A51FDF"/>
    <w:multiLevelType w:val="hybridMultilevel"/>
    <w:tmpl w:val="B71639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AB90C07"/>
    <w:multiLevelType w:val="hybridMultilevel"/>
    <w:tmpl w:val="18FE10D2"/>
    <w:lvl w:ilvl="0" w:tplc="5078A1A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6D5454"/>
    <w:multiLevelType w:val="hybridMultilevel"/>
    <w:tmpl w:val="D6562E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D248E0"/>
    <w:multiLevelType w:val="hybridMultilevel"/>
    <w:tmpl w:val="07B4C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DB5A41"/>
    <w:multiLevelType w:val="hybridMultilevel"/>
    <w:tmpl w:val="8998EEC2"/>
    <w:lvl w:ilvl="0" w:tplc="5078A1A0">
      <w:numFmt w:val="bullet"/>
      <w:lvlText w:val="•"/>
      <w:lvlJc w:val="left"/>
      <w:pPr>
        <w:ind w:left="1080" w:hanging="72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7F7D9E"/>
    <w:multiLevelType w:val="hybridMultilevel"/>
    <w:tmpl w:val="B4326482"/>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9" w15:restartNumberingAfterBreak="0">
    <w:nsid w:val="17E27821"/>
    <w:multiLevelType w:val="hybridMultilevel"/>
    <w:tmpl w:val="BF46643A"/>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start w:val="1"/>
      <w:numFmt w:val="bullet"/>
      <w:lvlText w:val=""/>
      <w:lvlJc w:val="left"/>
      <w:pPr>
        <w:ind w:left="2214" w:hanging="360"/>
      </w:pPr>
      <w:rPr>
        <w:rFonts w:ascii="Wingdings" w:hAnsi="Wingdings" w:hint="default"/>
      </w:rPr>
    </w:lvl>
    <w:lvl w:ilvl="3" w:tplc="0C090001">
      <w:start w:val="1"/>
      <w:numFmt w:val="bullet"/>
      <w:lvlText w:val=""/>
      <w:lvlJc w:val="left"/>
      <w:pPr>
        <w:ind w:left="2934" w:hanging="360"/>
      </w:pPr>
      <w:rPr>
        <w:rFonts w:ascii="Symbol" w:hAnsi="Symbol" w:hint="default"/>
      </w:rPr>
    </w:lvl>
    <w:lvl w:ilvl="4" w:tplc="0C090003">
      <w:start w:val="1"/>
      <w:numFmt w:val="bullet"/>
      <w:lvlText w:val="o"/>
      <w:lvlJc w:val="left"/>
      <w:pPr>
        <w:ind w:left="3654" w:hanging="360"/>
      </w:pPr>
      <w:rPr>
        <w:rFonts w:ascii="Courier New" w:hAnsi="Courier New" w:cs="Courier New" w:hint="default"/>
      </w:rPr>
    </w:lvl>
    <w:lvl w:ilvl="5" w:tplc="0C090005">
      <w:start w:val="1"/>
      <w:numFmt w:val="bullet"/>
      <w:lvlText w:val=""/>
      <w:lvlJc w:val="left"/>
      <w:pPr>
        <w:ind w:left="4374" w:hanging="360"/>
      </w:pPr>
      <w:rPr>
        <w:rFonts w:ascii="Wingdings" w:hAnsi="Wingdings" w:hint="default"/>
      </w:rPr>
    </w:lvl>
    <w:lvl w:ilvl="6" w:tplc="0C090001">
      <w:start w:val="1"/>
      <w:numFmt w:val="bullet"/>
      <w:lvlText w:val=""/>
      <w:lvlJc w:val="left"/>
      <w:pPr>
        <w:ind w:left="5094" w:hanging="360"/>
      </w:pPr>
      <w:rPr>
        <w:rFonts w:ascii="Symbol" w:hAnsi="Symbol" w:hint="default"/>
      </w:rPr>
    </w:lvl>
    <w:lvl w:ilvl="7" w:tplc="0C090003">
      <w:start w:val="1"/>
      <w:numFmt w:val="bullet"/>
      <w:lvlText w:val="o"/>
      <w:lvlJc w:val="left"/>
      <w:pPr>
        <w:ind w:left="5814" w:hanging="360"/>
      </w:pPr>
      <w:rPr>
        <w:rFonts w:ascii="Courier New" w:hAnsi="Courier New" w:cs="Courier New" w:hint="default"/>
      </w:rPr>
    </w:lvl>
    <w:lvl w:ilvl="8" w:tplc="0C090005">
      <w:start w:val="1"/>
      <w:numFmt w:val="bullet"/>
      <w:lvlText w:val=""/>
      <w:lvlJc w:val="left"/>
      <w:pPr>
        <w:ind w:left="6534" w:hanging="360"/>
      </w:pPr>
      <w:rPr>
        <w:rFonts w:ascii="Wingdings" w:hAnsi="Wingdings" w:hint="default"/>
      </w:rPr>
    </w:lvl>
  </w:abstractNum>
  <w:abstractNum w:abstractNumId="10" w15:restartNumberingAfterBreak="0">
    <w:nsid w:val="1A136DC5"/>
    <w:multiLevelType w:val="hybridMultilevel"/>
    <w:tmpl w:val="C0D8B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975370"/>
    <w:multiLevelType w:val="hybridMultilevel"/>
    <w:tmpl w:val="4920B5F6"/>
    <w:lvl w:ilvl="0" w:tplc="FDB245B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210479"/>
    <w:multiLevelType w:val="hybridMultilevel"/>
    <w:tmpl w:val="840E876E"/>
    <w:lvl w:ilvl="0" w:tplc="FDB245B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307145"/>
    <w:multiLevelType w:val="hybridMultilevel"/>
    <w:tmpl w:val="816442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6623C7C"/>
    <w:multiLevelType w:val="multilevel"/>
    <w:tmpl w:val="456A4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6D254D"/>
    <w:multiLevelType w:val="hybridMultilevel"/>
    <w:tmpl w:val="5358B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557415"/>
    <w:multiLevelType w:val="hybridMultilevel"/>
    <w:tmpl w:val="A558A966"/>
    <w:lvl w:ilvl="0" w:tplc="0C090001">
      <w:start w:val="1"/>
      <w:numFmt w:val="bullet"/>
      <w:lvlText w:val=""/>
      <w:lvlJc w:val="left"/>
      <w:pPr>
        <w:ind w:left="720" w:hanging="360"/>
      </w:pPr>
      <w:rPr>
        <w:rFonts w:ascii="Symbol" w:hAnsi="Symbol" w:hint="default"/>
      </w:rPr>
    </w:lvl>
    <w:lvl w:ilvl="1" w:tplc="99387046">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D0482A"/>
    <w:multiLevelType w:val="multilevel"/>
    <w:tmpl w:val="7962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4F3072"/>
    <w:multiLevelType w:val="hybridMultilevel"/>
    <w:tmpl w:val="9F6C6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E0161B"/>
    <w:multiLevelType w:val="hybridMultilevel"/>
    <w:tmpl w:val="7CA2CB20"/>
    <w:lvl w:ilvl="0" w:tplc="FDB245B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A02A36"/>
    <w:multiLevelType w:val="hybridMultilevel"/>
    <w:tmpl w:val="14402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E050AC"/>
    <w:multiLevelType w:val="hybridMultilevel"/>
    <w:tmpl w:val="4C8C1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D1045C"/>
    <w:multiLevelType w:val="hybridMultilevel"/>
    <w:tmpl w:val="70FCD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962280"/>
    <w:multiLevelType w:val="hybridMultilevel"/>
    <w:tmpl w:val="B770CA2C"/>
    <w:lvl w:ilvl="0" w:tplc="5078A1A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D332BE"/>
    <w:multiLevelType w:val="hybridMultilevel"/>
    <w:tmpl w:val="C43CE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202781"/>
    <w:multiLevelType w:val="hybridMultilevel"/>
    <w:tmpl w:val="52FAC4D6"/>
    <w:lvl w:ilvl="0" w:tplc="0C090001">
      <w:start w:val="1"/>
      <w:numFmt w:val="bullet"/>
      <w:lvlText w:val=""/>
      <w:lvlJc w:val="left"/>
      <w:pPr>
        <w:ind w:left="920" w:hanging="360"/>
      </w:pPr>
      <w:rPr>
        <w:rFonts w:ascii="Symbol" w:hAnsi="Symbol" w:hint="default"/>
      </w:rPr>
    </w:lvl>
    <w:lvl w:ilvl="1" w:tplc="0C090003" w:tentative="1">
      <w:start w:val="1"/>
      <w:numFmt w:val="bullet"/>
      <w:lvlText w:val="o"/>
      <w:lvlJc w:val="left"/>
      <w:pPr>
        <w:ind w:left="1640" w:hanging="360"/>
      </w:pPr>
      <w:rPr>
        <w:rFonts w:ascii="Courier New" w:hAnsi="Courier New" w:cs="Courier New" w:hint="default"/>
      </w:rPr>
    </w:lvl>
    <w:lvl w:ilvl="2" w:tplc="0C090005" w:tentative="1">
      <w:start w:val="1"/>
      <w:numFmt w:val="bullet"/>
      <w:lvlText w:val=""/>
      <w:lvlJc w:val="left"/>
      <w:pPr>
        <w:ind w:left="2360" w:hanging="360"/>
      </w:pPr>
      <w:rPr>
        <w:rFonts w:ascii="Wingdings" w:hAnsi="Wingdings" w:hint="default"/>
      </w:rPr>
    </w:lvl>
    <w:lvl w:ilvl="3" w:tplc="0C090001" w:tentative="1">
      <w:start w:val="1"/>
      <w:numFmt w:val="bullet"/>
      <w:lvlText w:val=""/>
      <w:lvlJc w:val="left"/>
      <w:pPr>
        <w:ind w:left="3080" w:hanging="360"/>
      </w:pPr>
      <w:rPr>
        <w:rFonts w:ascii="Symbol" w:hAnsi="Symbol" w:hint="default"/>
      </w:rPr>
    </w:lvl>
    <w:lvl w:ilvl="4" w:tplc="0C090003" w:tentative="1">
      <w:start w:val="1"/>
      <w:numFmt w:val="bullet"/>
      <w:lvlText w:val="o"/>
      <w:lvlJc w:val="left"/>
      <w:pPr>
        <w:ind w:left="3800" w:hanging="360"/>
      </w:pPr>
      <w:rPr>
        <w:rFonts w:ascii="Courier New" w:hAnsi="Courier New" w:cs="Courier New" w:hint="default"/>
      </w:rPr>
    </w:lvl>
    <w:lvl w:ilvl="5" w:tplc="0C090005" w:tentative="1">
      <w:start w:val="1"/>
      <w:numFmt w:val="bullet"/>
      <w:lvlText w:val=""/>
      <w:lvlJc w:val="left"/>
      <w:pPr>
        <w:ind w:left="4520" w:hanging="360"/>
      </w:pPr>
      <w:rPr>
        <w:rFonts w:ascii="Wingdings" w:hAnsi="Wingdings" w:hint="default"/>
      </w:rPr>
    </w:lvl>
    <w:lvl w:ilvl="6" w:tplc="0C090001" w:tentative="1">
      <w:start w:val="1"/>
      <w:numFmt w:val="bullet"/>
      <w:lvlText w:val=""/>
      <w:lvlJc w:val="left"/>
      <w:pPr>
        <w:ind w:left="5240" w:hanging="360"/>
      </w:pPr>
      <w:rPr>
        <w:rFonts w:ascii="Symbol" w:hAnsi="Symbol" w:hint="default"/>
      </w:rPr>
    </w:lvl>
    <w:lvl w:ilvl="7" w:tplc="0C090003" w:tentative="1">
      <w:start w:val="1"/>
      <w:numFmt w:val="bullet"/>
      <w:lvlText w:val="o"/>
      <w:lvlJc w:val="left"/>
      <w:pPr>
        <w:ind w:left="5960" w:hanging="360"/>
      </w:pPr>
      <w:rPr>
        <w:rFonts w:ascii="Courier New" w:hAnsi="Courier New" w:cs="Courier New" w:hint="default"/>
      </w:rPr>
    </w:lvl>
    <w:lvl w:ilvl="8" w:tplc="0C090005" w:tentative="1">
      <w:start w:val="1"/>
      <w:numFmt w:val="bullet"/>
      <w:lvlText w:val=""/>
      <w:lvlJc w:val="left"/>
      <w:pPr>
        <w:ind w:left="6680" w:hanging="360"/>
      </w:pPr>
      <w:rPr>
        <w:rFonts w:ascii="Wingdings" w:hAnsi="Wingdings" w:hint="default"/>
      </w:rPr>
    </w:lvl>
  </w:abstractNum>
  <w:abstractNum w:abstractNumId="26" w15:restartNumberingAfterBreak="0">
    <w:nsid w:val="512D03AE"/>
    <w:multiLevelType w:val="hybridMultilevel"/>
    <w:tmpl w:val="CDC22FBA"/>
    <w:lvl w:ilvl="0" w:tplc="29F4E14A">
      <w:start w:val="1"/>
      <w:numFmt w:val="bullet"/>
      <w:lvlText w:val=""/>
      <w:lvlJc w:val="left"/>
      <w:pPr>
        <w:ind w:left="360" w:hanging="360"/>
      </w:pPr>
      <w:rPr>
        <w:rFonts w:ascii="Symbol" w:hAnsi="Symbol" w:hint="default"/>
        <w:color w:val="auto"/>
      </w:rPr>
    </w:lvl>
    <w:lvl w:ilvl="1" w:tplc="060086C4">
      <w:start w:val="1"/>
      <w:numFmt w:val="bullet"/>
      <w:lvlText w:val="o"/>
      <w:lvlJc w:val="left"/>
      <w:pPr>
        <w:ind w:left="1080" w:hanging="360"/>
      </w:pPr>
      <w:rPr>
        <w:rFonts w:ascii="Courier New" w:hAnsi="Courier New" w:cs="Courier New" w:hint="default"/>
      </w:rPr>
    </w:lvl>
    <w:lvl w:ilvl="2" w:tplc="6E0E8166">
      <w:start w:val="1"/>
      <w:numFmt w:val="bullet"/>
      <w:lvlText w:val=""/>
      <w:lvlJc w:val="left"/>
      <w:pPr>
        <w:ind w:left="1800" w:hanging="360"/>
      </w:pPr>
      <w:rPr>
        <w:rFonts w:ascii="Wingdings" w:hAnsi="Wingdings" w:hint="default"/>
      </w:rPr>
    </w:lvl>
    <w:lvl w:ilvl="3" w:tplc="B85ADACC">
      <w:start w:val="1"/>
      <w:numFmt w:val="bullet"/>
      <w:lvlText w:val=""/>
      <w:lvlJc w:val="left"/>
      <w:pPr>
        <w:ind w:left="2520" w:hanging="360"/>
      </w:pPr>
      <w:rPr>
        <w:rFonts w:ascii="Symbol" w:hAnsi="Symbol" w:hint="default"/>
      </w:rPr>
    </w:lvl>
    <w:lvl w:ilvl="4" w:tplc="7DF6C5E2">
      <w:start w:val="1"/>
      <w:numFmt w:val="bullet"/>
      <w:lvlText w:val="o"/>
      <w:lvlJc w:val="left"/>
      <w:pPr>
        <w:ind w:left="3240" w:hanging="360"/>
      </w:pPr>
      <w:rPr>
        <w:rFonts w:ascii="Courier New" w:hAnsi="Courier New" w:cs="Courier New" w:hint="default"/>
      </w:rPr>
    </w:lvl>
    <w:lvl w:ilvl="5" w:tplc="EA58BEB6">
      <w:start w:val="1"/>
      <w:numFmt w:val="bullet"/>
      <w:lvlText w:val=""/>
      <w:lvlJc w:val="left"/>
      <w:pPr>
        <w:ind w:left="3960" w:hanging="360"/>
      </w:pPr>
      <w:rPr>
        <w:rFonts w:ascii="Wingdings" w:hAnsi="Wingdings" w:hint="default"/>
      </w:rPr>
    </w:lvl>
    <w:lvl w:ilvl="6" w:tplc="F3C46426">
      <w:start w:val="1"/>
      <w:numFmt w:val="bullet"/>
      <w:lvlText w:val=""/>
      <w:lvlJc w:val="left"/>
      <w:pPr>
        <w:ind w:left="4680" w:hanging="360"/>
      </w:pPr>
      <w:rPr>
        <w:rFonts w:ascii="Symbol" w:hAnsi="Symbol" w:hint="default"/>
      </w:rPr>
    </w:lvl>
    <w:lvl w:ilvl="7" w:tplc="5DBE9484">
      <w:start w:val="1"/>
      <w:numFmt w:val="bullet"/>
      <w:lvlText w:val="o"/>
      <w:lvlJc w:val="left"/>
      <w:pPr>
        <w:ind w:left="5400" w:hanging="360"/>
      </w:pPr>
      <w:rPr>
        <w:rFonts w:ascii="Courier New" w:hAnsi="Courier New" w:cs="Courier New" w:hint="default"/>
      </w:rPr>
    </w:lvl>
    <w:lvl w:ilvl="8" w:tplc="0A0CD296">
      <w:start w:val="1"/>
      <w:numFmt w:val="bullet"/>
      <w:lvlText w:val=""/>
      <w:lvlJc w:val="left"/>
      <w:pPr>
        <w:ind w:left="6120" w:hanging="360"/>
      </w:pPr>
      <w:rPr>
        <w:rFonts w:ascii="Wingdings" w:hAnsi="Wingdings" w:hint="default"/>
      </w:rPr>
    </w:lvl>
  </w:abstractNum>
  <w:abstractNum w:abstractNumId="27" w15:restartNumberingAfterBreak="0">
    <w:nsid w:val="55AA2BA9"/>
    <w:multiLevelType w:val="hybridMultilevel"/>
    <w:tmpl w:val="5CA0B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006FF2"/>
    <w:multiLevelType w:val="hybridMultilevel"/>
    <w:tmpl w:val="E2440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B3252B"/>
    <w:multiLevelType w:val="hybridMultilevel"/>
    <w:tmpl w:val="362E0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0037B8"/>
    <w:multiLevelType w:val="hybridMultilevel"/>
    <w:tmpl w:val="B896F304"/>
    <w:lvl w:ilvl="0" w:tplc="5078A1A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503824"/>
    <w:multiLevelType w:val="hybridMultilevel"/>
    <w:tmpl w:val="DF94DC3A"/>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32" w15:restartNumberingAfterBreak="0">
    <w:nsid w:val="6DFA7059"/>
    <w:multiLevelType w:val="multilevel"/>
    <w:tmpl w:val="B5B6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8D13B1"/>
    <w:multiLevelType w:val="multilevel"/>
    <w:tmpl w:val="3642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9B7D07"/>
    <w:multiLevelType w:val="hybridMultilevel"/>
    <w:tmpl w:val="EADC8206"/>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5" w15:restartNumberingAfterBreak="0">
    <w:nsid w:val="764E6CF7"/>
    <w:multiLevelType w:val="hybridMultilevel"/>
    <w:tmpl w:val="4C724102"/>
    <w:lvl w:ilvl="0" w:tplc="CCF0A86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5038E3"/>
    <w:multiLevelType w:val="hybridMultilevel"/>
    <w:tmpl w:val="51582C9E"/>
    <w:lvl w:ilvl="0" w:tplc="5078A1A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594477"/>
    <w:multiLevelType w:val="hybridMultilevel"/>
    <w:tmpl w:val="75F84D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0A41BD"/>
    <w:multiLevelType w:val="hybridMultilevel"/>
    <w:tmpl w:val="710404B6"/>
    <w:lvl w:ilvl="0" w:tplc="5078A1A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A3198B"/>
    <w:multiLevelType w:val="hybridMultilevel"/>
    <w:tmpl w:val="F16655A2"/>
    <w:lvl w:ilvl="0" w:tplc="5078A1A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BA0B87"/>
    <w:multiLevelType w:val="hybridMultilevel"/>
    <w:tmpl w:val="D43A6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37"/>
  </w:num>
  <w:num w:numId="3">
    <w:abstractNumId w:val="20"/>
  </w:num>
  <w:num w:numId="4">
    <w:abstractNumId w:val="14"/>
  </w:num>
  <w:num w:numId="5">
    <w:abstractNumId w:val="16"/>
  </w:num>
  <w:num w:numId="6">
    <w:abstractNumId w:val="6"/>
  </w:num>
  <w:num w:numId="7">
    <w:abstractNumId w:val="13"/>
  </w:num>
  <w:num w:numId="8">
    <w:abstractNumId w:val="25"/>
  </w:num>
  <w:num w:numId="9">
    <w:abstractNumId w:val="1"/>
  </w:num>
  <w:num w:numId="10">
    <w:abstractNumId w:val="31"/>
  </w:num>
  <w:num w:numId="11">
    <w:abstractNumId w:val="3"/>
  </w:num>
  <w:num w:numId="12">
    <w:abstractNumId w:val="0"/>
  </w:num>
  <w:num w:numId="13">
    <w:abstractNumId w:val="40"/>
  </w:num>
  <w:num w:numId="14">
    <w:abstractNumId w:val="5"/>
  </w:num>
  <w:num w:numId="15">
    <w:abstractNumId w:val="39"/>
  </w:num>
  <w:num w:numId="16">
    <w:abstractNumId w:val="7"/>
  </w:num>
  <w:num w:numId="17">
    <w:abstractNumId w:val="32"/>
  </w:num>
  <w:num w:numId="18">
    <w:abstractNumId w:val="2"/>
  </w:num>
  <w:num w:numId="19">
    <w:abstractNumId w:val="23"/>
  </w:num>
  <w:num w:numId="20">
    <w:abstractNumId w:val="4"/>
  </w:num>
  <w:num w:numId="21">
    <w:abstractNumId w:val="36"/>
  </w:num>
  <w:num w:numId="22">
    <w:abstractNumId w:val="38"/>
  </w:num>
  <w:num w:numId="23">
    <w:abstractNumId w:val="30"/>
  </w:num>
  <w:num w:numId="24">
    <w:abstractNumId w:val="35"/>
  </w:num>
  <w:num w:numId="25">
    <w:abstractNumId w:val="27"/>
  </w:num>
  <w:num w:numId="26">
    <w:abstractNumId w:val="29"/>
  </w:num>
  <w:num w:numId="27">
    <w:abstractNumId w:val="10"/>
  </w:num>
  <w:num w:numId="28">
    <w:abstractNumId w:val="22"/>
  </w:num>
  <w:num w:numId="29">
    <w:abstractNumId w:val="12"/>
  </w:num>
  <w:num w:numId="30">
    <w:abstractNumId w:val="11"/>
  </w:num>
  <w:num w:numId="31">
    <w:abstractNumId w:val="19"/>
  </w:num>
  <w:num w:numId="32">
    <w:abstractNumId w:val="21"/>
  </w:num>
  <w:num w:numId="33">
    <w:abstractNumId w:val="8"/>
  </w:num>
  <w:num w:numId="34">
    <w:abstractNumId w:val="18"/>
  </w:num>
  <w:num w:numId="35">
    <w:abstractNumId w:val="26"/>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4"/>
  </w:num>
  <w:num w:numId="39">
    <w:abstractNumId w:val="24"/>
  </w:num>
  <w:num w:numId="40">
    <w:abstractNumId w:val="17"/>
  </w:num>
  <w:num w:numId="41">
    <w:abstractNumId w:val="33"/>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BCF"/>
    <w:rsid w:val="000046D7"/>
    <w:rsid w:val="0000556D"/>
    <w:rsid w:val="00005C55"/>
    <w:rsid w:val="00010720"/>
    <w:rsid w:val="000129CA"/>
    <w:rsid w:val="00015914"/>
    <w:rsid w:val="000171EB"/>
    <w:rsid w:val="00026B3E"/>
    <w:rsid w:val="00033918"/>
    <w:rsid w:val="00040276"/>
    <w:rsid w:val="0004043A"/>
    <w:rsid w:val="00043316"/>
    <w:rsid w:val="000433E1"/>
    <w:rsid w:val="00043BB9"/>
    <w:rsid w:val="00043D9A"/>
    <w:rsid w:val="00045D5D"/>
    <w:rsid w:val="000477B0"/>
    <w:rsid w:val="0005306D"/>
    <w:rsid w:val="00055524"/>
    <w:rsid w:val="0006010D"/>
    <w:rsid w:val="00063491"/>
    <w:rsid w:val="0006604A"/>
    <w:rsid w:val="00070B56"/>
    <w:rsid w:val="0007676A"/>
    <w:rsid w:val="000829A5"/>
    <w:rsid w:val="00082B07"/>
    <w:rsid w:val="00082CF2"/>
    <w:rsid w:val="00083216"/>
    <w:rsid w:val="00084C64"/>
    <w:rsid w:val="00085D41"/>
    <w:rsid w:val="00086543"/>
    <w:rsid w:val="0008769C"/>
    <w:rsid w:val="00090C84"/>
    <w:rsid w:val="00094817"/>
    <w:rsid w:val="000974D3"/>
    <w:rsid w:val="00097663"/>
    <w:rsid w:val="00097F4B"/>
    <w:rsid w:val="000A0E18"/>
    <w:rsid w:val="000A473E"/>
    <w:rsid w:val="000B0323"/>
    <w:rsid w:val="000B0F83"/>
    <w:rsid w:val="000B14DA"/>
    <w:rsid w:val="000B24BB"/>
    <w:rsid w:val="000B341E"/>
    <w:rsid w:val="000B4EAC"/>
    <w:rsid w:val="000B62CA"/>
    <w:rsid w:val="000C0DD8"/>
    <w:rsid w:val="000C0ECC"/>
    <w:rsid w:val="000C1E81"/>
    <w:rsid w:val="000C275E"/>
    <w:rsid w:val="000C77A8"/>
    <w:rsid w:val="000D0382"/>
    <w:rsid w:val="000D0E96"/>
    <w:rsid w:val="000D14AB"/>
    <w:rsid w:val="000D1536"/>
    <w:rsid w:val="000D2364"/>
    <w:rsid w:val="000D4091"/>
    <w:rsid w:val="000D59F6"/>
    <w:rsid w:val="000E3848"/>
    <w:rsid w:val="000E444F"/>
    <w:rsid w:val="000E48F3"/>
    <w:rsid w:val="000F47E1"/>
    <w:rsid w:val="00101973"/>
    <w:rsid w:val="00102E27"/>
    <w:rsid w:val="00103260"/>
    <w:rsid w:val="00103F3A"/>
    <w:rsid w:val="0010532A"/>
    <w:rsid w:val="001137C2"/>
    <w:rsid w:val="00115A87"/>
    <w:rsid w:val="0011695F"/>
    <w:rsid w:val="00125B66"/>
    <w:rsid w:val="00125EC1"/>
    <w:rsid w:val="001324D4"/>
    <w:rsid w:val="00132EFF"/>
    <w:rsid w:val="0013795D"/>
    <w:rsid w:val="0014124A"/>
    <w:rsid w:val="00142060"/>
    <w:rsid w:val="00142330"/>
    <w:rsid w:val="00143454"/>
    <w:rsid w:val="00145189"/>
    <w:rsid w:val="00152231"/>
    <w:rsid w:val="00156244"/>
    <w:rsid w:val="0016215A"/>
    <w:rsid w:val="0016537A"/>
    <w:rsid w:val="00166FA6"/>
    <w:rsid w:val="00170EB4"/>
    <w:rsid w:val="00172BB1"/>
    <w:rsid w:val="00174025"/>
    <w:rsid w:val="00176A72"/>
    <w:rsid w:val="00177898"/>
    <w:rsid w:val="0018107F"/>
    <w:rsid w:val="001828C7"/>
    <w:rsid w:val="00184743"/>
    <w:rsid w:val="001854EC"/>
    <w:rsid w:val="001856E9"/>
    <w:rsid w:val="00186048"/>
    <w:rsid w:val="001908BC"/>
    <w:rsid w:val="0019269B"/>
    <w:rsid w:val="001A1077"/>
    <w:rsid w:val="001A33F1"/>
    <w:rsid w:val="001B1008"/>
    <w:rsid w:val="001C0E05"/>
    <w:rsid w:val="001C12E6"/>
    <w:rsid w:val="001C18C8"/>
    <w:rsid w:val="001C43DB"/>
    <w:rsid w:val="001C4850"/>
    <w:rsid w:val="001C5013"/>
    <w:rsid w:val="001C6E62"/>
    <w:rsid w:val="001D28F1"/>
    <w:rsid w:val="001D2EBE"/>
    <w:rsid w:val="001D4693"/>
    <w:rsid w:val="001D4887"/>
    <w:rsid w:val="001D6557"/>
    <w:rsid w:val="001D68F3"/>
    <w:rsid w:val="001E03DC"/>
    <w:rsid w:val="001E0F18"/>
    <w:rsid w:val="001E2D3A"/>
    <w:rsid w:val="001E58D6"/>
    <w:rsid w:val="001E7147"/>
    <w:rsid w:val="001F3A0B"/>
    <w:rsid w:val="001F6577"/>
    <w:rsid w:val="001F6DE7"/>
    <w:rsid w:val="001F7AF6"/>
    <w:rsid w:val="00202914"/>
    <w:rsid w:val="002119D9"/>
    <w:rsid w:val="002154A7"/>
    <w:rsid w:val="002158B4"/>
    <w:rsid w:val="002201FF"/>
    <w:rsid w:val="00220676"/>
    <w:rsid w:val="0022077A"/>
    <w:rsid w:val="0022101B"/>
    <w:rsid w:val="00224515"/>
    <w:rsid w:val="00227BFC"/>
    <w:rsid w:val="00231E6F"/>
    <w:rsid w:val="002339DE"/>
    <w:rsid w:val="00233FCA"/>
    <w:rsid w:val="00236756"/>
    <w:rsid w:val="00242A79"/>
    <w:rsid w:val="00244AC0"/>
    <w:rsid w:val="00245BDA"/>
    <w:rsid w:val="00246BC6"/>
    <w:rsid w:val="002543C9"/>
    <w:rsid w:val="00256C99"/>
    <w:rsid w:val="0026418E"/>
    <w:rsid w:val="00265E68"/>
    <w:rsid w:val="00270F1A"/>
    <w:rsid w:val="00277068"/>
    <w:rsid w:val="002773E1"/>
    <w:rsid w:val="00291D96"/>
    <w:rsid w:val="002942FB"/>
    <w:rsid w:val="00295CFA"/>
    <w:rsid w:val="00295D83"/>
    <w:rsid w:val="002A4784"/>
    <w:rsid w:val="002A6196"/>
    <w:rsid w:val="002A7F63"/>
    <w:rsid w:val="002B0767"/>
    <w:rsid w:val="002B6845"/>
    <w:rsid w:val="002B7D9B"/>
    <w:rsid w:val="002C330B"/>
    <w:rsid w:val="002C43BE"/>
    <w:rsid w:val="002C531E"/>
    <w:rsid w:val="002C617C"/>
    <w:rsid w:val="002C7ADA"/>
    <w:rsid w:val="002D067E"/>
    <w:rsid w:val="002D1D81"/>
    <w:rsid w:val="002D1FCB"/>
    <w:rsid w:val="002D5DEE"/>
    <w:rsid w:val="002D5F99"/>
    <w:rsid w:val="002E36F2"/>
    <w:rsid w:val="002E72DC"/>
    <w:rsid w:val="002F3971"/>
    <w:rsid w:val="002F3D6B"/>
    <w:rsid w:val="002F6FC7"/>
    <w:rsid w:val="003019B2"/>
    <w:rsid w:val="00301C19"/>
    <w:rsid w:val="00302016"/>
    <w:rsid w:val="00304B94"/>
    <w:rsid w:val="00304D65"/>
    <w:rsid w:val="00306156"/>
    <w:rsid w:val="003267BB"/>
    <w:rsid w:val="00330864"/>
    <w:rsid w:val="00331574"/>
    <w:rsid w:val="00331DA7"/>
    <w:rsid w:val="00334147"/>
    <w:rsid w:val="003379ED"/>
    <w:rsid w:val="003439DD"/>
    <w:rsid w:val="0035041A"/>
    <w:rsid w:val="00352A24"/>
    <w:rsid w:val="00355791"/>
    <w:rsid w:val="003569FC"/>
    <w:rsid w:val="00360167"/>
    <w:rsid w:val="00361C41"/>
    <w:rsid w:val="0036661F"/>
    <w:rsid w:val="00372EEE"/>
    <w:rsid w:val="00374BC3"/>
    <w:rsid w:val="00375CA6"/>
    <w:rsid w:val="00383A0F"/>
    <w:rsid w:val="0038709C"/>
    <w:rsid w:val="003877B4"/>
    <w:rsid w:val="0039179D"/>
    <w:rsid w:val="00392343"/>
    <w:rsid w:val="003A0E6C"/>
    <w:rsid w:val="003A2EBA"/>
    <w:rsid w:val="003A4F23"/>
    <w:rsid w:val="003A6B23"/>
    <w:rsid w:val="003B39BA"/>
    <w:rsid w:val="003C14EA"/>
    <w:rsid w:val="003C1D59"/>
    <w:rsid w:val="003C4282"/>
    <w:rsid w:val="003D2526"/>
    <w:rsid w:val="003D515B"/>
    <w:rsid w:val="003D7A61"/>
    <w:rsid w:val="003E31DD"/>
    <w:rsid w:val="003E466B"/>
    <w:rsid w:val="003E6481"/>
    <w:rsid w:val="003E7ADD"/>
    <w:rsid w:val="003E7DC1"/>
    <w:rsid w:val="003F328E"/>
    <w:rsid w:val="003F5E23"/>
    <w:rsid w:val="003F6BEB"/>
    <w:rsid w:val="00402E95"/>
    <w:rsid w:val="00404026"/>
    <w:rsid w:val="004046D8"/>
    <w:rsid w:val="00404B89"/>
    <w:rsid w:val="00404D39"/>
    <w:rsid w:val="00405BBE"/>
    <w:rsid w:val="004117B4"/>
    <w:rsid w:val="00414117"/>
    <w:rsid w:val="004163DF"/>
    <w:rsid w:val="00421A03"/>
    <w:rsid w:val="00425BEA"/>
    <w:rsid w:val="004278E5"/>
    <w:rsid w:val="00430D90"/>
    <w:rsid w:val="004320FD"/>
    <w:rsid w:val="004366F8"/>
    <w:rsid w:val="00436AAD"/>
    <w:rsid w:val="004438C6"/>
    <w:rsid w:val="00445C36"/>
    <w:rsid w:val="004526A5"/>
    <w:rsid w:val="00453406"/>
    <w:rsid w:val="004563B0"/>
    <w:rsid w:val="004567A8"/>
    <w:rsid w:val="00461321"/>
    <w:rsid w:val="00462FAC"/>
    <w:rsid w:val="004630EE"/>
    <w:rsid w:val="004638A9"/>
    <w:rsid w:val="0046550C"/>
    <w:rsid w:val="004669FF"/>
    <w:rsid w:val="00467221"/>
    <w:rsid w:val="00472AB9"/>
    <w:rsid w:val="00476284"/>
    <w:rsid w:val="00476F20"/>
    <w:rsid w:val="0047725E"/>
    <w:rsid w:val="00483FD0"/>
    <w:rsid w:val="004869F2"/>
    <w:rsid w:val="004926CC"/>
    <w:rsid w:val="00497A26"/>
    <w:rsid w:val="00497B7E"/>
    <w:rsid w:val="004A294E"/>
    <w:rsid w:val="004A2B1E"/>
    <w:rsid w:val="004A2C3E"/>
    <w:rsid w:val="004A49B1"/>
    <w:rsid w:val="004A7B63"/>
    <w:rsid w:val="004B684D"/>
    <w:rsid w:val="004C0F3E"/>
    <w:rsid w:val="004C3955"/>
    <w:rsid w:val="004C58E3"/>
    <w:rsid w:val="004D2623"/>
    <w:rsid w:val="004D4DB1"/>
    <w:rsid w:val="004D5522"/>
    <w:rsid w:val="004D7C56"/>
    <w:rsid w:val="004E0299"/>
    <w:rsid w:val="004E35D8"/>
    <w:rsid w:val="004F250B"/>
    <w:rsid w:val="004F5504"/>
    <w:rsid w:val="00500068"/>
    <w:rsid w:val="0050061A"/>
    <w:rsid w:val="00503A34"/>
    <w:rsid w:val="00506F3F"/>
    <w:rsid w:val="005077E0"/>
    <w:rsid w:val="00507DD0"/>
    <w:rsid w:val="00512DEC"/>
    <w:rsid w:val="00524280"/>
    <w:rsid w:val="00524C4B"/>
    <w:rsid w:val="00526302"/>
    <w:rsid w:val="00527060"/>
    <w:rsid w:val="005275D5"/>
    <w:rsid w:val="00527F35"/>
    <w:rsid w:val="00534827"/>
    <w:rsid w:val="0053767F"/>
    <w:rsid w:val="00537C4C"/>
    <w:rsid w:val="00543757"/>
    <w:rsid w:val="00543B72"/>
    <w:rsid w:val="00544372"/>
    <w:rsid w:val="00544D3C"/>
    <w:rsid w:val="00561C17"/>
    <w:rsid w:val="00563096"/>
    <w:rsid w:val="005659A0"/>
    <w:rsid w:val="005661DE"/>
    <w:rsid w:val="005715E9"/>
    <w:rsid w:val="00572AA6"/>
    <w:rsid w:val="00572D0B"/>
    <w:rsid w:val="005748D7"/>
    <w:rsid w:val="00575C16"/>
    <w:rsid w:val="005766CA"/>
    <w:rsid w:val="00580371"/>
    <w:rsid w:val="00581B70"/>
    <w:rsid w:val="0058501D"/>
    <w:rsid w:val="005853E4"/>
    <w:rsid w:val="005919A3"/>
    <w:rsid w:val="00592015"/>
    <w:rsid w:val="005968DD"/>
    <w:rsid w:val="005A46C3"/>
    <w:rsid w:val="005A73BA"/>
    <w:rsid w:val="005B6610"/>
    <w:rsid w:val="005B7498"/>
    <w:rsid w:val="005C0C39"/>
    <w:rsid w:val="005C5184"/>
    <w:rsid w:val="005C69B2"/>
    <w:rsid w:val="005D0296"/>
    <w:rsid w:val="005D19D0"/>
    <w:rsid w:val="005D2963"/>
    <w:rsid w:val="005D3B83"/>
    <w:rsid w:val="005F232E"/>
    <w:rsid w:val="005F7AD4"/>
    <w:rsid w:val="006015A3"/>
    <w:rsid w:val="00617C9A"/>
    <w:rsid w:val="00631594"/>
    <w:rsid w:val="006342C3"/>
    <w:rsid w:val="006371FC"/>
    <w:rsid w:val="00637D26"/>
    <w:rsid w:val="0064062F"/>
    <w:rsid w:val="00640668"/>
    <w:rsid w:val="00641819"/>
    <w:rsid w:val="00642CE5"/>
    <w:rsid w:val="00642D38"/>
    <w:rsid w:val="00651F89"/>
    <w:rsid w:val="00654E59"/>
    <w:rsid w:val="00656CDC"/>
    <w:rsid w:val="006606CC"/>
    <w:rsid w:val="00661EA4"/>
    <w:rsid w:val="0066448F"/>
    <w:rsid w:val="00665604"/>
    <w:rsid w:val="00665B97"/>
    <w:rsid w:val="00673368"/>
    <w:rsid w:val="006754BC"/>
    <w:rsid w:val="00680BD5"/>
    <w:rsid w:val="00682A3E"/>
    <w:rsid w:val="00686DDC"/>
    <w:rsid w:val="00687335"/>
    <w:rsid w:val="006924A2"/>
    <w:rsid w:val="006953F7"/>
    <w:rsid w:val="006971ED"/>
    <w:rsid w:val="006A1298"/>
    <w:rsid w:val="006B2343"/>
    <w:rsid w:val="006B6DA4"/>
    <w:rsid w:val="006C5CA6"/>
    <w:rsid w:val="006C5CD3"/>
    <w:rsid w:val="006D2653"/>
    <w:rsid w:val="006D28FD"/>
    <w:rsid w:val="006D3EFB"/>
    <w:rsid w:val="006D40BD"/>
    <w:rsid w:val="006E492E"/>
    <w:rsid w:val="006E5A8D"/>
    <w:rsid w:val="006E6075"/>
    <w:rsid w:val="006F141D"/>
    <w:rsid w:val="006F3A85"/>
    <w:rsid w:val="006F4DA9"/>
    <w:rsid w:val="006F714F"/>
    <w:rsid w:val="007059D4"/>
    <w:rsid w:val="007178BD"/>
    <w:rsid w:val="00717956"/>
    <w:rsid w:val="00720699"/>
    <w:rsid w:val="00720D63"/>
    <w:rsid w:val="00723E09"/>
    <w:rsid w:val="00724AB8"/>
    <w:rsid w:val="007267B4"/>
    <w:rsid w:val="00727441"/>
    <w:rsid w:val="007277C6"/>
    <w:rsid w:val="00731E3F"/>
    <w:rsid w:val="00732E64"/>
    <w:rsid w:val="00733243"/>
    <w:rsid w:val="0073441D"/>
    <w:rsid w:val="0074032E"/>
    <w:rsid w:val="00740787"/>
    <w:rsid w:val="007416C8"/>
    <w:rsid w:val="0074786D"/>
    <w:rsid w:val="007600ED"/>
    <w:rsid w:val="00761414"/>
    <w:rsid w:val="0076285F"/>
    <w:rsid w:val="00764E8D"/>
    <w:rsid w:val="0077027B"/>
    <w:rsid w:val="00771C30"/>
    <w:rsid w:val="00772601"/>
    <w:rsid w:val="00775242"/>
    <w:rsid w:val="007768A4"/>
    <w:rsid w:val="00781E35"/>
    <w:rsid w:val="00782D77"/>
    <w:rsid w:val="007844E6"/>
    <w:rsid w:val="00784973"/>
    <w:rsid w:val="007863C2"/>
    <w:rsid w:val="007873FD"/>
    <w:rsid w:val="007903BF"/>
    <w:rsid w:val="00790400"/>
    <w:rsid w:val="00792CA0"/>
    <w:rsid w:val="00795892"/>
    <w:rsid w:val="00796831"/>
    <w:rsid w:val="00796AA0"/>
    <w:rsid w:val="00797B83"/>
    <w:rsid w:val="007B6ACE"/>
    <w:rsid w:val="007D022A"/>
    <w:rsid w:val="007D0999"/>
    <w:rsid w:val="007E113C"/>
    <w:rsid w:val="007E2AE3"/>
    <w:rsid w:val="007E3925"/>
    <w:rsid w:val="007F38C5"/>
    <w:rsid w:val="007F3A5C"/>
    <w:rsid w:val="007F5CD8"/>
    <w:rsid w:val="007F7220"/>
    <w:rsid w:val="00804543"/>
    <w:rsid w:val="00804663"/>
    <w:rsid w:val="0080562E"/>
    <w:rsid w:val="00812322"/>
    <w:rsid w:val="00814BD2"/>
    <w:rsid w:val="00816450"/>
    <w:rsid w:val="00823B49"/>
    <w:rsid w:val="00823E90"/>
    <w:rsid w:val="008248BA"/>
    <w:rsid w:val="00827709"/>
    <w:rsid w:val="00832C7A"/>
    <w:rsid w:val="008341FF"/>
    <w:rsid w:val="008356E5"/>
    <w:rsid w:val="00840C7D"/>
    <w:rsid w:val="00847F40"/>
    <w:rsid w:val="0085017C"/>
    <w:rsid w:val="00850C4A"/>
    <w:rsid w:val="00853F1C"/>
    <w:rsid w:val="00856049"/>
    <w:rsid w:val="008568AF"/>
    <w:rsid w:val="00856DF3"/>
    <w:rsid w:val="008577C8"/>
    <w:rsid w:val="00857C6E"/>
    <w:rsid w:val="0086027B"/>
    <w:rsid w:val="0086135E"/>
    <w:rsid w:val="008636D5"/>
    <w:rsid w:val="00863E53"/>
    <w:rsid w:val="0086483C"/>
    <w:rsid w:val="00867AD1"/>
    <w:rsid w:val="008723A0"/>
    <w:rsid w:val="00873261"/>
    <w:rsid w:val="00876A6B"/>
    <w:rsid w:val="0088474E"/>
    <w:rsid w:val="00887177"/>
    <w:rsid w:val="00887F83"/>
    <w:rsid w:val="00890EED"/>
    <w:rsid w:val="00891A64"/>
    <w:rsid w:val="008928B3"/>
    <w:rsid w:val="00893292"/>
    <w:rsid w:val="008963C7"/>
    <w:rsid w:val="008A7350"/>
    <w:rsid w:val="008B0964"/>
    <w:rsid w:val="008B145A"/>
    <w:rsid w:val="008B3F27"/>
    <w:rsid w:val="008B5388"/>
    <w:rsid w:val="008B74C1"/>
    <w:rsid w:val="008D44D5"/>
    <w:rsid w:val="008D45C8"/>
    <w:rsid w:val="008D66C6"/>
    <w:rsid w:val="008D7135"/>
    <w:rsid w:val="008E2918"/>
    <w:rsid w:val="008E31AF"/>
    <w:rsid w:val="008E54A5"/>
    <w:rsid w:val="008F3897"/>
    <w:rsid w:val="008F44FF"/>
    <w:rsid w:val="008F4CE4"/>
    <w:rsid w:val="00903905"/>
    <w:rsid w:val="0090408E"/>
    <w:rsid w:val="00905EC5"/>
    <w:rsid w:val="0091716F"/>
    <w:rsid w:val="00923E22"/>
    <w:rsid w:val="00924C33"/>
    <w:rsid w:val="00932C4F"/>
    <w:rsid w:val="00933D94"/>
    <w:rsid w:val="00935356"/>
    <w:rsid w:val="00935652"/>
    <w:rsid w:val="00935F57"/>
    <w:rsid w:val="0093649E"/>
    <w:rsid w:val="009368EF"/>
    <w:rsid w:val="00936A06"/>
    <w:rsid w:val="0094063E"/>
    <w:rsid w:val="00941577"/>
    <w:rsid w:val="00943775"/>
    <w:rsid w:val="00944476"/>
    <w:rsid w:val="009444EE"/>
    <w:rsid w:val="0095180A"/>
    <w:rsid w:val="00953968"/>
    <w:rsid w:val="00954810"/>
    <w:rsid w:val="009549C4"/>
    <w:rsid w:val="00956F82"/>
    <w:rsid w:val="009577D9"/>
    <w:rsid w:val="00957F4F"/>
    <w:rsid w:val="00963836"/>
    <w:rsid w:val="00964E3F"/>
    <w:rsid w:val="00965A8F"/>
    <w:rsid w:val="00967627"/>
    <w:rsid w:val="00967BCF"/>
    <w:rsid w:val="009722BB"/>
    <w:rsid w:val="00973040"/>
    <w:rsid w:val="009733CE"/>
    <w:rsid w:val="009734DE"/>
    <w:rsid w:val="009836DA"/>
    <w:rsid w:val="00983A5B"/>
    <w:rsid w:val="00986023"/>
    <w:rsid w:val="009863A2"/>
    <w:rsid w:val="00990ADE"/>
    <w:rsid w:val="00990D3C"/>
    <w:rsid w:val="00996978"/>
    <w:rsid w:val="00997226"/>
    <w:rsid w:val="0099775F"/>
    <w:rsid w:val="009978B9"/>
    <w:rsid w:val="009A0B44"/>
    <w:rsid w:val="009B012E"/>
    <w:rsid w:val="009B0C46"/>
    <w:rsid w:val="009B1A2F"/>
    <w:rsid w:val="009B2539"/>
    <w:rsid w:val="009B4402"/>
    <w:rsid w:val="009B6893"/>
    <w:rsid w:val="009C5CF1"/>
    <w:rsid w:val="009D43EC"/>
    <w:rsid w:val="009E01EA"/>
    <w:rsid w:val="009E06D3"/>
    <w:rsid w:val="009E3950"/>
    <w:rsid w:val="009F416D"/>
    <w:rsid w:val="009F42DA"/>
    <w:rsid w:val="009F5705"/>
    <w:rsid w:val="009F68A8"/>
    <w:rsid w:val="00A020FA"/>
    <w:rsid w:val="00A04AAD"/>
    <w:rsid w:val="00A123B8"/>
    <w:rsid w:val="00A16618"/>
    <w:rsid w:val="00A170B1"/>
    <w:rsid w:val="00A21C07"/>
    <w:rsid w:val="00A22DC9"/>
    <w:rsid w:val="00A24019"/>
    <w:rsid w:val="00A24E20"/>
    <w:rsid w:val="00A27ADD"/>
    <w:rsid w:val="00A33B4C"/>
    <w:rsid w:val="00A34EA3"/>
    <w:rsid w:val="00A35224"/>
    <w:rsid w:val="00A3629F"/>
    <w:rsid w:val="00A37C75"/>
    <w:rsid w:val="00A47831"/>
    <w:rsid w:val="00A5261D"/>
    <w:rsid w:val="00A55D99"/>
    <w:rsid w:val="00A610E3"/>
    <w:rsid w:val="00A65ED1"/>
    <w:rsid w:val="00A6682A"/>
    <w:rsid w:val="00A668B1"/>
    <w:rsid w:val="00A71328"/>
    <w:rsid w:val="00A715B1"/>
    <w:rsid w:val="00A72607"/>
    <w:rsid w:val="00A74051"/>
    <w:rsid w:val="00A761D5"/>
    <w:rsid w:val="00A765CA"/>
    <w:rsid w:val="00A77A62"/>
    <w:rsid w:val="00A8019D"/>
    <w:rsid w:val="00A82B7E"/>
    <w:rsid w:val="00A83DC8"/>
    <w:rsid w:val="00A84E42"/>
    <w:rsid w:val="00A9079C"/>
    <w:rsid w:val="00A90957"/>
    <w:rsid w:val="00A91A4F"/>
    <w:rsid w:val="00A91C4B"/>
    <w:rsid w:val="00A94847"/>
    <w:rsid w:val="00A96765"/>
    <w:rsid w:val="00A97D90"/>
    <w:rsid w:val="00AA5DDD"/>
    <w:rsid w:val="00AB30DE"/>
    <w:rsid w:val="00AB33B3"/>
    <w:rsid w:val="00AB3BEA"/>
    <w:rsid w:val="00AC443F"/>
    <w:rsid w:val="00AC580C"/>
    <w:rsid w:val="00AC5D96"/>
    <w:rsid w:val="00AC6C38"/>
    <w:rsid w:val="00AC78EC"/>
    <w:rsid w:val="00AC7C2A"/>
    <w:rsid w:val="00AD1D2B"/>
    <w:rsid w:val="00AD4E24"/>
    <w:rsid w:val="00AD70E4"/>
    <w:rsid w:val="00AE1EDE"/>
    <w:rsid w:val="00AE4963"/>
    <w:rsid w:val="00AF2B47"/>
    <w:rsid w:val="00AF7308"/>
    <w:rsid w:val="00B01C27"/>
    <w:rsid w:val="00B05146"/>
    <w:rsid w:val="00B06BF9"/>
    <w:rsid w:val="00B06D23"/>
    <w:rsid w:val="00B075F9"/>
    <w:rsid w:val="00B11DEB"/>
    <w:rsid w:val="00B12EBA"/>
    <w:rsid w:val="00B24724"/>
    <w:rsid w:val="00B27C4A"/>
    <w:rsid w:val="00B318F2"/>
    <w:rsid w:val="00B31E3D"/>
    <w:rsid w:val="00B3328F"/>
    <w:rsid w:val="00B35925"/>
    <w:rsid w:val="00B37006"/>
    <w:rsid w:val="00B51346"/>
    <w:rsid w:val="00B54431"/>
    <w:rsid w:val="00B55C7F"/>
    <w:rsid w:val="00B566F5"/>
    <w:rsid w:val="00B63EC7"/>
    <w:rsid w:val="00B6510A"/>
    <w:rsid w:val="00B6548C"/>
    <w:rsid w:val="00B67B6B"/>
    <w:rsid w:val="00B709BD"/>
    <w:rsid w:val="00B71481"/>
    <w:rsid w:val="00B74795"/>
    <w:rsid w:val="00B758D1"/>
    <w:rsid w:val="00B7619A"/>
    <w:rsid w:val="00B762D9"/>
    <w:rsid w:val="00B770C1"/>
    <w:rsid w:val="00B80FA2"/>
    <w:rsid w:val="00B85315"/>
    <w:rsid w:val="00B907D1"/>
    <w:rsid w:val="00B911A9"/>
    <w:rsid w:val="00B961F9"/>
    <w:rsid w:val="00BA74E9"/>
    <w:rsid w:val="00BB30BE"/>
    <w:rsid w:val="00BB3961"/>
    <w:rsid w:val="00BB5CA9"/>
    <w:rsid w:val="00BB6525"/>
    <w:rsid w:val="00BB6F59"/>
    <w:rsid w:val="00BC14B8"/>
    <w:rsid w:val="00BC49EE"/>
    <w:rsid w:val="00BC6354"/>
    <w:rsid w:val="00BC691B"/>
    <w:rsid w:val="00BD0FB7"/>
    <w:rsid w:val="00BD137C"/>
    <w:rsid w:val="00BD7AE6"/>
    <w:rsid w:val="00BE0BC4"/>
    <w:rsid w:val="00BE25B1"/>
    <w:rsid w:val="00BE342B"/>
    <w:rsid w:val="00BE4ACA"/>
    <w:rsid w:val="00BE6000"/>
    <w:rsid w:val="00BE6CC7"/>
    <w:rsid w:val="00BE75AE"/>
    <w:rsid w:val="00BE7625"/>
    <w:rsid w:val="00BF0AEC"/>
    <w:rsid w:val="00BF349B"/>
    <w:rsid w:val="00BF6B30"/>
    <w:rsid w:val="00C02989"/>
    <w:rsid w:val="00C03A9F"/>
    <w:rsid w:val="00C05B2D"/>
    <w:rsid w:val="00C06043"/>
    <w:rsid w:val="00C073A2"/>
    <w:rsid w:val="00C07909"/>
    <w:rsid w:val="00C11671"/>
    <w:rsid w:val="00C131E0"/>
    <w:rsid w:val="00C16191"/>
    <w:rsid w:val="00C222B1"/>
    <w:rsid w:val="00C23D81"/>
    <w:rsid w:val="00C2586D"/>
    <w:rsid w:val="00C267D5"/>
    <w:rsid w:val="00C30846"/>
    <w:rsid w:val="00C31610"/>
    <w:rsid w:val="00C375BF"/>
    <w:rsid w:val="00C376E6"/>
    <w:rsid w:val="00C43F82"/>
    <w:rsid w:val="00C44676"/>
    <w:rsid w:val="00C46101"/>
    <w:rsid w:val="00C46440"/>
    <w:rsid w:val="00C52CB0"/>
    <w:rsid w:val="00C5305C"/>
    <w:rsid w:val="00C53EB4"/>
    <w:rsid w:val="00C55625"/>
    <w:rsid w:val="00C5652E"/>
    <w:rsid w:val="00C5666B"/>
    <w:rsid w:val="00C566AC"/>
    <w:rsid w:val="00C57404"/>
    <w:rsid w:val="00C5759A"/>
    <w:rsid w:val="00C57AC0"/>
    <w:rsid w:val="00C60077"/>
    <w:rsid w:val="00C60B5E"/>
    <w:rsid w:val="00C61311"/>
    <w:rsid w:val="00C63108"/>
    <w:rsid w:val="00C648DB"/>
    <w:rsid w:val="00C720F1"/>
    <w:rsid w:val="00C74312"/>
    <w:rsid w:val="00C75959"/>
    <w:rsid w:val="00C75D5C"/>
    <w:rsid w:val="00C770E6"/>
    <w:rsid w:val="00C8501A"/>
    <w:rsid w:val="00C9026A"/>
    <w:rsid w:val="00C91F88"/>
    <w:rsid w:val="00C91FF3"/>
    <w:rsid w:val="00C92684"/>
    <w:rsid w:val="00C9604B"/>
    <w:rsid w:val="00CA071E"/>
    <w:rsid w:val="00CA12C0"/>
    <w:rsid w:val="00CA770E"/>
    <w:rsid w:val="00CB18A5"/>
    <w:rsid w:val="00CB314A"/>
    <w:rsid w:val="00CB382F"/>
    <w:rsid w:val="00CB5E64"/>
    <w:rsid w:val="00CB6EB0"/>
    <w:rsid w:val="00CC01F0"/>
    <w:rsid w:val="00CC1E6A"/>
    <w:rsid w:val="00CC1FB3"/>
    <w:rsid w:val="00CC2C00"/>
    <w:rsid w:val="00CC32C0"/>
    <w:rsid w:val="00CC4B84"/>
    <w:rsid w:val="00CC5C8D"/>
    <w:rsid w:val="00CD0732"/>
    <w:rsid w:val="00CD130A"/>
    <w:rsid w:val="00CD4348"/>
    <w:rsid w:val="00CD47C6"/>
    <w:rsid w:val="00CD76E6"/>
    <w:rsid w:val="00CE0D20"/>
    <w:rsid w:val="00CE2EB4"/>
    <w:rsid w:val="00CE5A3E"/>
    <w:rsid w:val="00CE602B"/>
    <w:rsid w:val="00CF027E"/>
    <w:rsid w:val="00D00BED"/>
    <w:rsid w:val="00D00D4A"/>
    <w:rsid w:val="00D00E47"/>
    <w:rsid w:val="00D052FB"/>
    <w:rsid w:val="00D05D8C"/>
    <w:rsid w:val="00D06D22"/>
    <w:rsid w:val="00D12509"/>
    <w:rsid w:val="00D127EF"/>
    <w:rsid w:val="00D16595"/>
    <w:rsid w:val="00D16FBE"/>
    <w:rsid w:val="00D219A4"/>
    <w:rsid w:val="00D2361E"/>
    <w:rsid w:val="00D25D70"/>
    <w:rsid w:val="00D32DD3"/>
    <w:rsid w:val="00D35B80"/>
    <w:rsid w:val="00D4010F"/>
    <w:rsid w:val="00D4247A"/>
    <w:rsid w:val="00D52843"/>
    <w:rsid w:val="00D56041"/>
    <w:rsid w:val="00D56857"/>
    <w:rsid w:val="00D6191B"/>
    <w:rsid w:val="00D653F2"/>
    <w:rsid w:val="00D65C2D"/>
    <w:rsid w:val="00D70DD7"/>
    <w:rsid w:val="00D829BC"/>
    <w:rsid w:val="00D84A43"/>
    <w:rsid w:val="00D84BD0"/>
    <w:rsid w:val="00D91960"/>
    <w:rsid w:val="00D94703"/>
    <w:rsid w:val="00D950EA"/>
    <w:rsid w:val="00D97636"/>
    <w:rsid w:val="00DB21B8"/>
    <w:rsid w:val="00DB2AA1"/>
    <w:rsid w:val="00DB5B11"/>
    <w:rsid w:val="00DB64E7"/>
    <w:rsid w:val="00DB741E"/>
    <w:rsid w:val="00DC44F0"/>
    <w:rsid w:val="00DC48C0"/>
    <w:rsid w:val="00DC579A"/>
    <w:rsid w:val="00DC5902"/>
    <w:rsid w:val="00DC63D6"/>
    <w:rsid w:val="00DC70B1"/>
    <w:rsid w:val="00DD2829"/>
    <w:rsid w:val="00DE0CDD"/>
    <w:rsid w:val="00DE1618"/>
    <w:rsid w:val="00DE58B3"/>
    <w:rsid w:val="00DF02DC"/>
    <w:rsid w:val="00DF03C8"/>
    <w:rsid w:val="00DF21A5"/>
    <w:rsid w:val="00E03EFE"/>
    <w:rsid w:val="00E03FCC"/>
    <w:rsid w:val="00E04F92"/>
    <w:rsid w:val="00E10586"/>
    <w:rsid w:val="00E11A2E"/>
    <w:rsid w:val="00E11DC6"/>
    <w:rsid w:val="00E120DD"/>
    <w:rsid w:val="00E12481"/>
    <w:rsid w:val="00E13A2B"/>
    <w:rsid w:val="00E1533E"/>
    <w:rsid w:val="00E17750"/>
    <w:rsid w:val="00E212CC"/>
    <w:rsid w:val="00E25C74"/>
    <w:rsid w:val="00E263CD"/>
    <w:rsid w:val="00E26AC4"/>
    <w:rsid w:val="00E44CEC"/>
    <w:rsid w:val="00E465EE"/>
    <w:rsid w:val="00E54F02"/>
    <w:rsid w:val="00E57AB8"/>
    <w:rsid w:val="00E60C31"/>
    <w:rsid w:val="00E62810"/>
    <w:rsid w:val="00E657AF"/>
    <w:rsid w:val="00E65DCF"/>
    <w:rsid w:val="00E6659D"/>
    <w:rsid w:val="00E66EBB"/>
    <w:rsid w:val="00E675C4"/>
    <w:rsid w:val="00E7268D"/>
    <w:rsid w:val="00E733C8"/>
    <w:rsid w:val="00E746F4"/>
    <w:rsid w:val="00E81009"/>
    <w:rsid w:val="00E845F3"/>
    <w:rsid w:val="00E86C9E"/>
    <w:rsid w:val="00E86D0E"/>
    <w:rsid w:val="00E934C3"/>
    <w:rsid w:val="00E955A0"/>
    <w:rsid w:val="00E9624F"/>
    <w:rsid w:val="00E972C9"/>
    <w:rsid w:val="00EA3703"/>
    <w:rsid w:val="00EA4503"/>
    <w:rsid w:val="00EA7FA2"/>
    <w:rsid w:val="00EB04B0"/>
    <w:rsid w:val="00EB05FE"/>
    <w:rsid w:val="00EB4AD5"/>
    <w:rsid w:val="00EC0048"/>
    <w:rsid w:val="00EC04A9"/>
    <w:rsid w:val="00EC4CD6"/>
    <w:rsid w:val="00EC4DA2"/>
    <w:rsid w:val="00EC5E91"/>
    <w:rsid w:val="00ED04B8"/>
    <w:rsid w:val="00ED49D8"/>
    <w:rsid w:val="00ED49DA"/>
    <w:rsid w:val="00ED4DDB"/>
    <w:rsid w:val="00ED5CA8"/>
    <w:rsid w:val="00EE64B7"/>
    <w:rsid w:val="00EF2A7E"/>
    <w:rsid w:val="00EF3C92"/>
    <w:rsid w:val="00EF5787"/>
    <w:rsid w:val="00EF5F1F"/>
    <w:rsid w:val="00EF78C9"/>
    <w:rsid w:val="00F05D79"/>
    <w:rsid w:val="00F06B7D"/>
    <w:rsid w:val="00F071B1"/>
    <w:rsid w:val="00F12408"/>
    <w:rsid w:val="00F13E17"/>
    <w:rsid w:val="00F1499F"/>
    <w:rsid w:val="00F22961"/>
    <w:rsid w:val="00F22CA4"/>
    <w:rsid w:val="00F24391"/>
    <w:rsid w:val="00F24E03"/>
    <w:rsid w:val="00F24FAC"/>
    <w:rsid w:val="00F25C84"/>
    <w:rsid w:val="00F300B7"/>
    <w:rsid w:val="00F402F8"/>
    <w:rsid w:val="00F41DBB"/>
    <w:rsid w:val="00F41F36"/>
    <w:rsid w:val="00F43890"/>
    <w:rsid w:val="00F43B34"/>
    <w:rsid w:val="00F44454"/>
    <w:rsid w:val="00F44713"/>
    <w:rsid w:val="00F44A87"/>
    <w:rsid w:val="00F47DF4"/>
    <w:rsid w:val="00F50B3D"/>
    <w:rsid w:val="00F51871"/>
    <w:rsid w:val="00F52487"/>
    <w:rsid w:val="00F5327D"/>
    <w:rsid w:val="00F55909"/>
    <w:rsid w:val="00F624A2"/>
    <w:rsid w:val="00F76056"/>
    <w:rsid w:val="00F80032"/>
    <w:rsid w:val="00F80380"/>
    <w:rsid w:val="00F820A1"/>
    <w:rsid w:val="00F84940"/>
    <w:rsid w:val="00F85176"/>
    <w:rsid w:val="00F90E4F"/>
    <w:rsid w:val="00F93F33"/>
    <w:rsid w:val="00F94759"/>
    <w:rsid w:val="00F973B3"/>
    <w:rsid w:val="00FA1068"/>
    <w:rsid w:val="00FA3480"/>
    <w:rsid w:val="00FA42CE"/>
    <w:rsid w:val="00FA438D"/>
    <w:rsid w:val="00FA4C6C"/>
    <w:rsid w:val="00FB0AD5"/>
    <w:rsid w:val="00FB3C72"/>
    <w:rsid w:val="00FB5358"/>
    <w:rsid w:val="00FB560A"/>
    <w:rsid w:val="00FB5F7E"/>
    <w:rsid w:val="00FC04D2"/>
    <w:rsid w:val="00FC1DDC"/>
    <w:rsid w:val="00FC347F"/>
    <w:rsid w:val="00FC47D0"/>
    <w:rsid w:val="00FC570F"/>
    <w:rsid w:val="00FD1BF6"/>
    <w:rsid w:val="00FD21D2"/>
    <w:rsid w:val="00FD7CAA"/>
    <w:rsid w:val="00FE040A"/>
    <w:rsid w:val="00FE0E8B"/>
    <w:rsid w:val="00FE1A54"/>
    <w:rsid w:val="00FE4BD0"/>
    <w:rsid w:val="00FE598C"/>
    <w:rsid w:val="00FE62B1"/>
    <w:rsid w:val="00FF1472"/>
    <w:rsid w:val="00FF4A05"/>
    <w:rsid w:val="00FF72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E1F2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332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F7A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267D5"/>
    <w:pPr>
      <w:spacing w:line="240" w:lineRule="auto"/>
      <w:outlineLvl w:val="2"/>
    </w:pPr>
    <w:rPr>
      <w:u w:val="single"/>
    </w:rPr>
  </w:style>
  <w:style w:type="paragraph" w:styleId="Heading4">
    <w:name w:val="heading 4"/>
    <w:basedOn w:val="Normal"/>
    <w:next w:val="Normal"/>
    <w:link w:val="Heading4Char"/>
    <w:uiPriority w:val="9"/>
    <w:unhideWhenUsed/>
    <w:qFormat/>
    <w:rsid w:val="00C267D5"/>
    <w:pPr>
      <w:spacing w:line="240" w:lineRule="auto"/>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35B80"/>
    <w:rPr>
      <w:sz w:val="16"/>
      <w:szCs w:val="16"/>
    </w:rPr>
  </w:style>
  <w:style w:type="paragraph" w:styleId="CommentText">
    <w:name w:val="annotation text"/>
    <w:basedOn w:val="Normal"/>
    <w:link w:val="CommentTextChar"/>
    <w:uiPriority w:val="99"/>
    <w:semiHidden/>
    <w:unhideWhenUsed/>
    <w:rsid w:val="00D35B80"/>
    <w:pPr>
      <w:spacing w:line="240" w:lineRule="auto"/>
    </w:pPr>
    <w:rPr>
      <w:sz w:val="20"/>
      <w:szCs w:val="20"/>
    </w:rPr>
  </w:style>
  <w:style w:type="character" w:customStyle="1" w:styleId="CommentTextChar">
    <w:name w:val="Comment Text Char"/>
    <w:basedOn w:val="DefaultParagraphFont"/>
    <w:link w:val="CommentText"/>
    <w:uiPriority w:val="99"/>
    <w:semiHidden/>
    <w:rsid w:val="00D35B80"/>
    <w:rPr>
      <w:sz w:val="20"/>
      <w:szCs w:val="20"/>
    </w:rPr>
  </w:style>
  <w:style w:type="paragraph" w:styleId="CommentSubject">
    <w:name w:val="annotation subject"/>
    <w:basedOn w:val="CommentText"/>
    <w:next w:val="CommentText"/>
    <w:link w:val="CommentSubjectChar"/>
    <w:uiPriority w:val="99"/>
    <w:semiHidden/>
    <w:unhideWhenUsed/>
    <w:rsid w:val="00D35B80"/>
    <w:rPr>
      <w:b/>
      <w:bCs/>
    </w:rPr>
  </w:style>
  <w:style w:type="character" w:customStyle="1" w:styleId="CommentSubjectChar">
    <w:name w:val="Comment Subject Char"/>
    <w:basedOn w:val="CommentTextChar"/>
    <w:link w:val="CommentSubject"/>
    <w:uiPriority w:val="99"/>
    <w:semiHidden/>
    <w:rsid w:val="00D35B80"/>
    <w:rPr>
      <w:b/>
      <w:bCs/>
      <w:sz w:val="20"/>
      <w:szCs w:val="20"/>
    </w:rPr>
  </w:style>
  <w:style w:type="paragraph" w:styleId="BalloonText">
    <w:name w:val="Balloon Text"/>
    <w:basedOn w:val="Normal"/>
    <w:link w:val="BalloonTextChar"/>
    <w:uiPriority w:val="99"/>
    <w:semiHidden/>
    <w:unhideWhenUsed/>
    <w:rsid w:val="00D35B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B80"/>
    <w:rPr>
      <w:rFonts w:ascii="Segoe UI" w:hAnsi="Segoe UI" w:cs="Segoe UI"/>
      <w:sz w:val="18"/>
      <w:szCs w:val="18"/>
    </w:rPr>
  </w:style>
  <w:style w:type="paragraph" w:styleId="ListParagraph">
    <w:name w:val="List Paragraph"/>
    <w:basedOn w:val="Normal"/>
    <w:uiPriority w:val="34"/>
    <w:qFormat/>
    <w:rsid w:val="00983A5B"/>
    <w:pPr>
      <w:spacing w:before="40" w:after="40" w:line="240" w:lineRule="auto"/>
      <w:contextualSpacing/>
    </w:pPr>
    <w:rPr>
      <w:rFonts w:ascii="Arial" w:eastAsia="Times New Roman" w:hAnsi="Arial" w:cs="Times New Roman"/>
      <w:color w:val="3B3838" w:themeColor="background2" w:themeShade="40"/>
      <w:sz w:val="20"/>
      <w:szCs w:val="24"/>
      <w:lang w:eastAsia="en-AU"/>
    </w:rPr>
  </w:style>
  <w:style w:type="table" w:styleId="PlainTable1">
    <w:name w:val="Plain Table 1"/>
    <w:basedOn w:val="TableNormal"/>
    <w:uiPriority w:val="41"/>
    <w:rsid w:val="00983A5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306156"/>
    <w:rPr>
      <w:color w:val="0563C1" w:themeColor="hyperlink"/>
      <w:u w:val="single"/>
    </w:rPr>
  </w:style>
  <w:style w:type="paragraph" w:styleId="NormalWeb">
    <w:name w:val="Normal (Web)"/>
    <w:basedOn w:val="Normal"/>
    <w:uiPriority w:val="99"/>
    <w:unhideWhenUsed/>
    <w:rsid w:val="00256C9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B3328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F7AD4"/>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2D1F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1FCB"/>
    <w:rPr>
      <w:sz w:val="20"/>
      <w:szCs w:val="20"/>
    </w:rPr>
  </w:style>
  <w:style w:type="character" w:styleId="FootnoteReference">
    <w:name w:val="footnote reference"/>
    <w:basedOn w:val="DefaultParagraphFont"/>
    <w:uiPriority w:val="99"/>
    <w:semiHidden/>
    <w:unhideWhenUsed/>
    <w:rsid w:val="002D1FCB"/>
    <w:rPr>
      <w:vertAlign w:val="superscript"/>
    </w:rPr>
  </w:style>
  <w:style w:type="paragraph" w:customStyle="1" w:styleId="Bullets">
    <w:name w:val="Bullets"/>
    <w:basedOn w:val="ListBullet"/>
    <w:link w:val="BulletsChar"/>
    <w:rsid w:val="00EC0048"/>
    <w:pPr>
      <w:tabs>
        <w:tab w:val="left" w:pos="340"/>
      </w:tabs>
      <w:spacing w:before="100" w:beforeAutospacing="1" w:after="100" w:afterAutospacing="1" w:line="240" w:lineRule="auto"/>
    </w:pPr>
    <w:rPr>
      <w:rFonts w:ascii="Arial" w:eastAsia="Times New Roman" w:hAnsi="Arial" w:cs="Times New Roman"/>
      <w:color w:val="5F5F5F"/>
      <w:sz w:val="20"/>
      <w:szCs w:val="24"/>
    </w:rPr>
  </w:style>
  <w:style w:type="character" w:customStyle="1" w:styleId="BulletsChar">
    <w:name w:val="Bullets Char"/>
    <w:basedOn w:val="DefaultParagraphFont"/>
    <w:link w:val="Bullets"/>
    <w:rsid w:val="00EC0048"/>
    <w:rPr>
      <w:rFonts w:ascii="Arial" w:eastAsia="Times New Roman" w:hAnsi="Arial" w:cs="Times New Roman"/>
      <w:color w:val="5F5F5F"/>
      <w:sz w:val="20"/>
      <w:szCs w:val="24"/>
    </w:rPr>
  </w:style>
  <w:style w:type="paragraph" w:styleId="ListBullet">
    <w:name w:val="List Bullet"/>
    <w:basedOn w:val="Normal"/>
    <w:uiPriority w:val="99"/>
    <w:semiHidden/>
    <w:unhideWhenUsed/>
    <w:rsid w:val="00EC0048"/>
    <w:pPr>
      <w:tabs>
        <w:tab w:val="num" w:pos="680"/>
      </w:tabs>
      <w:ind w:left="680" w:hanging="680"/>
      <w:contextualSpacing/>
    </w:pPr>
  </w:style>
  <w:style w:type="character" w:styleId="FollowedHyperlink">
    <w:name w:val="FollowedHyperlink"/>
    <w:basedOn w:val="DefaultParagraphFont"/>
    <w:uiPriority w:val="99"/>
    <w:semiHidden/>
    <w:unhideWhenUsed/>
    <w:rsid w:val="00BD7AE6"/>
    <w:rPr>
      <w:color w:val="954F72" w:themeColor="followedHyperlink"/>
      <w:u w:val="single"/>
    </w:rPr>
  </w:style>
  <w:style w:type="paragraph" w:styleId="Header">
    <w:name w:val="header"/>
    <w:basedOn w:val="Normal"/>
    <w:link w:val="HeaderChar"/>
    <w:uiPriority w:val="99"/>
    <w:unhideWhenUsed/>
    <w:rsid w:val="00DF03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3C8"/>
  </w:style>
  <w:style w:type="paragraph" w:styleId="Footer">
    <w:name w:val="footer"/>
    <w:basedOn w:val="Normal"/>
    <w:link w:val="FooterChar"/>
    <w:uiPriority w:val="99"/>
    <w:unhideWhenUsed/>
    <w:rsid w:val="00DF03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3C8"/>
  </w:style>
  <w:style w:type="paragraph" w:customStyle="1" w:styleId="AddressBlock">
    <w:name w:val="Address Block"/>
    <w:basedOn w:val="Normal"/>
    <w:uiPriority w:val="99"/>
    <w:rsid w:val="00BD0FB7"/>
    <w:pPr>
      <w:spacing w:after="0" w:line="200" w:lineRule="exact"/>
    </w:pPr>
    <w:rPr>
      <w:rFonts w:ascii="Times New Roman" w:eastAsia="Times New Roman" w:hAnsi="Times New Roman" w:cs="Times New Roman"/>
      <w:color w:val="000000"/>
      <w:sz w:val="16"/>
      <w:szCs w:val="24"/>
    </w:rPr>
  </w:style>
  <w:style w:type="paragraph" w:styleId="TOCHeading">
    <w:name w:val="TOC Heading"/>
    <w:basedOn w:val="Heading1"/>
    <w:next w:val="Normal"/>
    <w:uiPriority w:val="39"/>
    <w:unhideWhenUsed/>
    <w:qFormat/>
    <w:rsid w:val="00176A72"/>
    <w:pPr>
      <w:outlineLvl w:val="9"/>
    </w:pPr>
    <w:rPr>
      <w:lang w:val="en-US"/>
    </w:rPr>
  </w:style>
  <w:style w:type="paragraph" w:styleId="TOC1">
    <w:name w:val="toc 1"/>
    <w:basedOn w:val="Normal"/>
    <w:next w:val="Normal"/>
    <w:autoRedefine/>
    <w:uiPriority w:val="39"/>
    <w:unhideWhenUsed/>
    <w:rsid w:val="001C4850"/>
    <w:pPr>
      <w:tabs>
        <w:tab w:val="right" w:leader="dot" w:pos="9016"/>
      </w:tabs>
      <w:spacing w:after="100"/>
    </w:pPr>
  </w:style>
  <w:style w:type="paragraph" w:styleId="TOC2">
    <w:name w:val="toc 2"/>
    <w:basedOn w:val="Normal"/>
    <w:next w:val="Normal"/>
    <w:autoRedefine/>
    <w:uiPriority w:val="39"/>
    <w:unhideWhenUsed/>
    <w:rsid w:val="00176A72"/>
    <w:pPr>
      <w:spacing w:after="100"/>
      <w:ind w:left="220"/>
    </w:pPr>
  </w:style>
  <w:style w:type="paragraph" w:styleId="Revision">
    <w:name w:val="Revision"/>
    <w:hidden/>
    <w:uiPriority w:val="99"/>
    <w:semiHidden/>
    <w:rsid w:val="00063491"/>
    <w:pPr>
      <w:spacing w:after="0" w:line="240" w:lineRule="auto"/>
    </w:pPr>
  </w:style>
  <w:style w:type="character" w:styleId="Emphasis">
    <w:name w:val="Emphasis"/>
    <w:basedOn w:val="DefaultParagraphFont"/>
    <w:uiPriority w:val="20"/>
    <w:qFormat/>
    <w:rsid w:val="00903905"/>
    <w:rPr>
      <w:i/>
      <w:iCs/>
    </w:rPr>
  </w:style>
  <w:style w:type="paragraph" w:styleId="Caption">
    <w:name w:val="caption"/>
    <w:basedOn w:val="Normal"/>
    <w:next w:val="Normal"/>
    <w:uiPriority w:val="35"/>
    <w:unhideWhenUsed/>
    <w:qFormat/>
    <w:rsid w:val="00F44713"/>
    <w:pPr>
      <w:spacing w:after="200" w:line="240" w:lineRule="auto"/>
    </w:pPr>
    <w:rPr>
      <w:rFonts w:ascii="Calibri" w:hAnsi="Calibri" w:cs="Times New Roman"/>
      <w:i/>
      <w:iCs/>
      <w:color w:val="44546A" w:themeColor="text2"/>
      <w:sz w:val="18"/>
      <w:szCs w:val="18"/>
    </w:rPr>
  </w:style>
  <w:style w:type="character" w:customStyle="1" w:styleId="Heading3Char">
    <w:name w:val="Heading 3 Char"/>
    <w:basedOn w:val="DefaultParagraphFont"/>
    <w:link w:val="Heading3"/>
    <w:uiPriority w:val="9"/>
    <w:rsid w:val="00C267D5"/>
    <w:rPr>
      <w:u w:val="single"/>
    </w:rPr>
  </w:style>
  <w:style w:type="character" w:customStyle="1" w:styleId="Heading4Char">
    <w:name w:val="Heading 4 Char"/>
    <w:basedOn w:val="DefaultParagraphFont"/>
    <w:link w:val="Heading4"/>
    <w:uiPriority w:val="9"/>
    <w:rsid w:val="00C267D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5910">
      <w:bodyDiv w:val="1"/>
      <w:marLeft w:val="0"/>
      <w:marRight w:val="0"/>
      <w:marTop w:val="0"/>
      <w:marBottom w:val="0"/>
      <w:divBdr>
        <w:top w:val="none" w:sz="0" w:space="0" w:color="auto"/>
        <w:left w:val="none" w:sz="0" w:space="0" w:color="auto"/>
        <w:bottom w:val="none" w:sz="0" w:space="0" w:color="auto"/>
        <w:right w:val="none" w:sz="0" w:space="0" w:color="auto"/>
      </w:divBdr>
    </w:div>
    <w:div w:id="193617537">
      <w:bodyDiv w:val="1"/>
      <w:marLeft w:val="0"/>
      <w:marRight w:val="0"/>
      <w:marTop w:val="0"/>
      <w:marBottom w:val="0"/>
      <w:divBdr>
        <w:top w:val="none" w:sz="0" w:space="0" w:color="auto"/>
        <w:left w:val="none" w:sz="0" w:space="0" w:color="auto"/>
        <w:bottom w:val="none" w:sz="0" w:space="0" w:color="auto"/>
        <w:right w:val="none" w:sz="0" w:space="0" w:color="auto"/>
      </w:divBdr>
    </w:div>
    <w:div w:id="408649543">
      <w:bodyDiv w:val="1"/>
      <w:marLeft w:val="0"/>
      <w:marRight w:val="0"/>
      <w:marTop w:val="0"/>
      <w:marBottom w:val="0"/>
      <w:divBdr>
        <w:top w:val="none" w:sz="0" w:space="0" w:color="auto"/>
        <w:left w:val="none" w:sz="0" w:space="0" w:color="auto"/>
        <w:bottom w:val="none" w:sz="0" w:space="0" w:color="auto"/>
        <w:right w:val="none" w:sz="0" w:space="0" w:color="auto"/>
      </w:divBdr>
      <w:divsChild>
        <w:div w:id="1650670163">
          <w:marLeft w:val="0"/>
          <w:marRight w:val="0"/>
          <w:marTop w:val="0"/>
          <w:marBottom w:val="0"/>
          <w:divBdr>
            <w:top w:val="none" w:sz="0" w:space="0" w:color="auto"/>
            <w:left w:val="none" w:sz="0" w:space="0" w:color="auto"/>
            <w:bottom w:val="none" w:sz="0" w:space="0" w:color="auto"/>
            <w:right w:val="none" w:sz="0" w:space="0" w:color="auto"/>
          </w:divBdr>
          <w:divsChild>
            <w:div w:id="229386032">
              <w:marLeft w:val="0"/>
              <w:marRight w:val="0"/>
              <w:marTop w:val="0"/>
              <w:marBottom w:val="0"/>
              <w:divBdr>
                <w:top w:val="none" w:sz="0" w:space="0" w:color="auto"/>
                <w:left w:val="none" w:sz="0" w:space="0" w:color="auto"/>
                <w:bottom w:val="none" w:sz="0" w:space="0" w:color="auto"/>
                <w:right w:val="none" w:sz="0" w:space="0" w:color="auto"/>
              </w:divBdr>
              <w:divsChild>
                <w:div w:id="1329987774">
                  <w:marLeft w:val="0"/>
                  <w:marRight w:val="0"/>
                  <w:marTop w:val="0"/>
                  <w:marBottom w:val="0"/>
                  <w:divBdr>
                    <w:top w:val="none" w:sz="0" w:space="0" w:color="auto"/>
                    <w:left w:val="none" w:sz="0" w:space="0" w:color="auto"/>
                    <w:bottom w:val="none" w:sz="0" w:space="0" w:color="auto"/>
                    <w:right w:val="none" w:sz="0" w:space="0" w:color="auto"/>
                  </w:divBdr>
                  <w:divsChild>
                    <w:div w:id="35593924">
                      <w:marLeft w:val="0"/>
                      <w:marRight w:val="0"/>
                      <w:marTop w:val="0"/>
                      <w:marBottom w:val="0"/>
                      <w:divBdr>
                        <w:top w:val="none" w:sz="0" w:space="0" w:color="auto"/>
                        <w:left w:val="none" w:sz="0" w:space="0" w:color="auto"/>
                        <w:bottom w:val="none" w:sz="0" w:space="0" w:color="auto"/>
                        <w:right w:val="none" w:sz="0" w:space="0" w:color="auto"/>
                      </w:divBdr>
                      <w:divsChild>
                        <w:div w:id="627124460">
                          <w:marLeft w:val="0"/>
                          <w:marRight w:val="0"/>
                          <w:marTop w:val="0"/>
                          <w:marBottom w:val="0"/>
                          <w:divBdr>
                            <w:top w:val="none" w:sz="0" w:space="0" w:color="auto"/>
                            <w:left w:val="none" w:sz="0" w:space="0" w:color="auto"/>
                            <w:bottom w:val="none" w:sz="0" w:space="0" w:color="auto"/>
                            <w:right w:val="none" w:sz="0" w:space="0" w:color="auto"/>
                          </w:divBdr>
                          <w:divsChild>
                            <w:div w:id="36020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047166">
      <w:bodyDiv w:val="1"/>
      <w:marLeft w:val="0"/>
      <w:marRight w:val="0"/>
      <w:marTop w:val="0"/>
      <w:marBottom w:val="0"/>
      <w:divBdr>
        <w:top w:val="none" w:sz="0" w:space="0" w:color="auto"/>
        <w:left w:val="none" w:sz="0" w:space="0" w:color="auto"/>
        <w:bottom w:val="none" w:sz="0" w:space="0" w:color="auto"/>
        <w:right w:val="none" w:sz="0" w:space="0" w:color="auto"/>
      </w:divBdr>
    </w:div>
    <w:div w:id="1018627015">
      <w:bodyDiv w:val="1"/>
      <w:marLeft w:val="0"/>
      <w:marRight w:val="0"/>
      <w:marTop w:val="0"/>
      <w:marBottom w:val="0"/>
      <w:divBdr>
        <w:top w:val="none" w:sz="0" w:space="0" w:color="auto"/>
        <w:left w:val="none" w:sz="0" w:space="0" w:color="auto"/>
        <w:bottom w:val="none" w:sz="0" w:space="0" w:color="auto"/>
        <w:right w:val="none" w:sz="0" w:space="0" w:color="auto"/>
      </w:divBdr>
      <w:divsChild>
        <w:div w:id="515198523">
          <w:marLeft w:val="0"/>
          <w:marRight w:val="0"/>
          <w:marTop w:val="0"/>
          <w:marBottom w:val="0"/>
          <w:divBdr>
            <w:top w:val="none" w:sz="0" w:space="0" w:color="auto"/>
            <w:left w:val="none" w:sz="0" w:space="0" w:color="auto"/>
            <w:bottom w:val="none" w:sz="0" w:space="0" w:color="auto"/>
            <w:right w:val="none" w:sz="0" w:space="0" w:color="auto"/>
          </w:divBdr>
          <w:divsChild>
            <w:div w:id="382993015">
              <w:marLeft w:val="0"/>
              <w:marRight w:val="0"/>
              <w:marTop w:val="0"/>
              <w:marBottom w:val="0"/>
              <w:divBdr>
                <w:top w:val="none" w:sz="0" w:space="0" w:color="auto"/>
                <w:left w:val="none" w:sz="0" w:space="0" w:color="auto"/>
                <w:bottom w:val="none" w:sz="0" w:space="0" w:color="auto"/>
                <w:right w:val="none" w:sz="0" w:space="0" w:color="auto"/>
              </w:divBdr>
              <w:divsChild>
                <w:div w:id="892545154">
                  <w:marLeft w:val="0"/>
                  <w:marRight w:val="0"/>
                  <w:marTop w:val="0"/>
                  <w:marBottom w:val="0"/>
                  <w:divBdr>
                    <w:top w:val="none" w:sz="0" w:space="0" w:color="auto"/>
                    <w:left w:val="none" w:sz="0" w:space="0" w:color="auto"/>
                    <w:bottom w:val="none" w:sz="0" w:space="0" w:color="auto"/>
                    <w:right w:val="none" w:sz="0" w:space="0" w:color="auto"/>
                  </w:divBdr>
                  <w:divsChild>
                    <w:div w:id="2107261204">
                      <w:marLeft w:val="0"/>
                      <w:marRight w:val="0"/>
                      <w:marTop w:val="0"/>
                      <w:marBottom w:val="0"/>
                      <w:divBdr>
                        <w:top w:val="none" w:sz="0" w:space="0" w:color="auto"/>
                        <w:left w:val="none" w:sz="0" w:space="0" w:color="auto"/>
                        <w:bottom w:val="none" w:sz="0" w:space="0" w:color="auto"/>
                        <w:right w:val="none" w:sz="0" w:space="0" w:color="auto"/>
                      </w:divBdr>
                      <w:divsChild>
                        <w:div w:id="1919559389">
                          <w:marLeft w:val="0"/>
                          <w:marRight w:val="0"/>
                          <w:marTop w:val="0"/>
                          <w:marBottom w:val="0"/>
                          <w:divBdr>
                            <w:top w:val="none" w:sz="0" w:space="0" w:color="auto"/>
                            <w:left w:val="none" w:sz="0" w:space="0" w:color="auto"/>
                            <w:bottom w:val="none" w:sz="0" w:space="0" w:color="auto"/>
                            <w:right w:val="none" w:sz="0" w:space="0" w:color="auto"/>
                          </w:divBdr>
                          <w:divsChild>
                            <w:div w:id="2672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751540">
      <w:bodyDiv w:val="1"/>
      <w:marLeft w:val="0"/>
      <w:marRight w:val="0"/>
      <w:marTop w:val="0"/>
      <w:marBottom w:val="0"/>
      <w:divBdr>
        <w:top w:val="none" w:sz="0" w:space="0" w:color="auto"/>
        <w:left w:val="none" w:sz="0" w:space="0" w:color="auto"/>
        <w:bottom w:val="none" w:sz="0" w:space="0" w:color="auto"/>
        <w:right w:val="none" w:sz="0" w:space="0" w:color="auto"/>
      </w:divBdr>
      <w:divsChild>
        <w:div w:id="590429674">
          <w:marLeft w:val="0"/>
          <w:marRight w:val="0"/>
          <w:marTop w:val="0"/>
          <w:marBottom w:val="0"/>
          <w:divBdr>
            <w:top w:val="none" w:sz="0" w:space="0" w:color="auto"/>
            <w:left w:val="none" w:sz="0" w:space="0" w:color="auto"/>
            <w:bottom w:val="none" w:sz="0" w:space="0" w:color="auto"/>
            <w:right w:val="none" w:sz="0" w:space="0" w:color="auto"/>
          </w:divBdr>
          <w:divsChild>
            <w:div w:id="2124957011">
              <w:marLeft w:val="0"/>
              <w:marRight w:val="0"/>
              <w:marTop w:val="0"/>
              <w:marBottom w:val="0"/>
              <w:divBdr>
                <w:top w:val="none" w:sz="0" w:space="0" w:color="auto"/>
                <w:left w:val="none" w:sz="0" w:space="0" w:color="auto"/>
                <w:bottom w:val="none" w:sz="0" w:space="0" w:color="auto"/>
                <w:right w:val="none" w:sz="0" w:space="0" w:color="auto"/>
              </w:divBdr>
              <w:divsChild>
                <w:div w:id="2125033880">
                  <w:marLeft w:val="0"/>
                  <w:marRight w:val="0"/>
                  <w:marTop w:val="0"/>
                  <w:marBottom w:val="0"/>
                  <w:divBdr>
                    <w:top w:val="none" w:sz="0" w:space="0" w:color="auto"/>
                    <w:left w:val="none" w:sz="0" w:space="0" w:color="auto"/>
                    <w:bottom w:val="none" w:sz="0" w:space="0" w:color="auto"/>
                    <w:right w:val="none" w:sz="0" w:space="0" w:color="auto"/>
                  </w:divBdr>
                  <w:divsChild>
                    <w:div w:id="1321081884">
                      <w:marLeft w:val="0"/>
                      <w:marRight w:val="0"/>
                      <w:marTop w:val="0"/>
                      <w:marBottom w:val="0"/>
                      <w:divBdr>
                        <w:top w:val="none" w:sz="0" w:space="0" w:color="auto"/>
                        <w:left w:val="none" w:sz="0" w:space="0" w:color="auto"/>
                        <w:bottom w:val="none" w:sz="0" w:space="0" w:color="auto"/>
                        <w:right w:val="none" w:sz="0" w:space="0" w:color="auto"/>
                      </w:divBdr>
                      <w:divsChild>
                        <w:div w:id="2024699040">
                          <w:marLeft w:val="0"/>
                          <w:marRight w:val="0"/>
                          <w:marTop w:val="0"/>
                          <w:marBottom w:val="0"/>
                          <w:divBdr>
                            <w:top w:val="none" w:sz="0" w:space="0" w:color="auto"/>
                            <w:left w:val="none" w:sz="0" w:space="0" w:color="auto"/>
                            <w:bottom w:val="none" w:sz="0" w:space="0" w:color="auto"/>
                            <w:right w:val="none" w:sz="0" w:space="0" w:color="auto"/>
                          </w:divBdr>
                          <w:divsChild>
                            <w:div w:id="49075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307448">
      <w:bodyDiv w:val="1"/>
      <w:marLeft w:val="0"/>
      <w:marRight w:val="0"/>
      <w:marTop w:val="0"/>
      <w:marBottom w:val="0"/>
      <w:divBdr>
        <w:top w:val="none" w:sz="0" w:space="0" w:color="auto"/>
        <w:left w:val="none" w:sz="0" w:space="0" w:color="auto"/>
        <w:bottom w:val="none" w:sz="0" w:space="0" w:color="auto"/>
        <w:right w:val="none" w:sz="0" w:space="0" w:color="auto"/>
      </w:divBdr>
    </w:div>
    <w:div w:id="1750425852">
      <w:bodyDiv w:val="1"/>
      <w:marLeft w:val="0"/>
      <w:marRight w:val="0"/>
      <w:marTop w:val="0"/>
      <w:marBottom w:val="0"/>
      <w:divBdr>
        <w:top w:val="none" w:sz="0" w:space="0" w:color="auto"/>
        <w:left w:val="none" w:sz="0" w:space="0" w:color="auto"/>
        <w:bottom w:val="none" w:sz="0" w:space="0" w:color="auto"/>
        <w:right w:val="none" w:sz="0" w:space="0" w:color="auto"/>
      </w:divBdr>
    </w:div>
    <w:div w:id="1863471213">
      <w:bodyDiv w:val="1"/>
      <w:marLeft w:val="0"/>
      <w:marRight w:val="0"/>
      <w:marTop w:val="0"/>
      <w:marBottom w:val="0"/>
      <w:divBdr>
        <w:top w:val="none" w:sz="0" w:space="0" w:color="auto"/>
        <w:left w:val="none" w:sz="0" w:space="0" w:color="auto"/>
        <w:bottom w:val="none" w:sz="0" w:space="0" w:color="auto"/>
        <w:right w:val="none" w:sz="0" w:space="0" w:color="auto"/>
      </w:divBdr>
      <w:divsChild>
        <w:div w:id="2126266032">
          <w:marLeft w:val="0"/>
          <w:marRight w:val="0"/>
          <w:marTop w:val="0"/>
          <w:marBottom w:val="0"/>
          <w:divBdr>
            <w:top w:val="none" w:sz="0" w:space="0" w:color="auto"/>
            <w:left w:val="none" w:sz="0" w:space="0" w:color="auto"/>
            <w:bottom w:val="none" w:sz="0" w:space="0" w:color="auto"/>
            <w:right w:val="none" w:sz="0" w:space="0" w:color="auto"/>
          </w:divBdr>
          <w:divsChild>
            <w:div w:id="146944637">
              <w:marLeft w:val="0"/>
              <w:marRight w:val="0"/>
              <w:marTop w:val="0"/>
              <w:marBottom w:val="0"/>
              <w:divBdr>
                <w:top w:val="none" w:sz="0" w:space="0" w:color="auto"/>
                <w:left w:val="none" w:sz="0" w:space="0" w:color="auto"/>
                <w:bottom w:val="none" w:sz="0" w:space="0" w:color="auto"/>
                <w:right w:val="none" w:sz="0" w:space="0" w:color="auto"/>
              </w:divBdr>
              <w:divsChild>
                <w:div w:id="2035495926">
                  <w:marLeft w:val="0"/>
                  <w:marRight w:val="0"/>
                  <w:marTop w:val="0"/>
                  <w:marBottom w:val="0"/>
                  <w:divBdr>
                    <w:top w:val="none" w:sz="0" w:space="0" w:color="auto"/>
                    <w:left w:val="none" w:sz="0" w:space="0" w:color="auto"/>
                    <w:bottom w:val="none" w:sz="0" w:space="0" w:color="auto"/>
                    <w:right w:val="none" w:sz="0" w:space="0" w:color="auto"/>
                  </w:divBdr>
                  <w:divsChild>
                    <w:div w:id="556623939">
                      <w:marLeft w:val="0"/>
                      <w:marRight w:val="0"/>
                      <w:marTop w:val="0"/>
                      <w:marBottom w:val="0"/>
                      <w:divBdr>
                        <w:top w:val="none" w:sz="0" w:space="0" w:color="auto"/>
                        <w:left w:val="none" w:sz="0" w:space="0" w:color="auto"/>
                        <w:bottom w:val="none" w:sz="0" w:space="0" w:color="auto"/>
                        <w:right w:val="none" w:sz="0" w:space="0" w:color="auto"/>
                      </w:divBdr>
                      <w:divsChild>
                        <w:div w:id="1188375149">
                          <w:marLeft w:val="0"/>
                          <w:marRight w:val="0"/>
                          <w:marTop w:val="0"/>
                          <w:marBottom w:val="0"/>
                          <w:divBdr>
                            <w:top w:val="none" w:sz="0" w:space="0" w:color="auto"/>
                            <w:left w:val="none" w:sz="0" w:space="0" w:color="auto"/>
                            <w:bottom w:val="none" w:sz="0" w:space="0" w:color="auto"/>
                            <w:right w:val="none" w:sz="0" w:space="0" w:color="auto"/>
                          </w:divBdr>
                          <w:divsChild>
                            <w:div w:id="161601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526117">
      <w:bodyDiv w:val="1"/>
      <w:marLeft w:val="0"/>
      <w:marRight w:val="0"/>
      <w:marTop w:val="0"/>
      <w:marBottom w:val="0"/>
      <w:divBdr>
        <w:top w:val="none" w:sz="0" w:space="0" w:color="auto"/>
        <w:left w:val="none" w:sz="0" w:space="0" w:color="auto"/>
        <w:bottom w:val="none" w:sz="0" w:space="0" w:color="auto"/>
        <w:right w:val="none" w:sz="0" w:space="0" w:color="auto"/>
      </w:divBdr>
      <w:divsChild>
        <w:div w:id="123233967">
          <w:marLeft w:val="0"/>
          <w:marRight w:val="0"/>
          <w:marTop w:val="0"/>
          <w:marBottom w:val="0"/>
          <w:divBdr>
            <w:top w:val="none" w:sz="0" w:space="0" w:color="auto"/>
            <w:left w:val="none" w:sz="0" w:space="0" w:color="auto"/>
            <w:bottom w:val="none" w:sz="0" w:space="0" w:color="auto"/>
            <w:right w:val="none" w:sz="0" w:space="0" w:color="auto"/>
          </w:divBdr>
          <w:divsChild>
            <w:div w:id="1556427519">
              <w:marLeft w:val="0"/>
              <w:marRight w:val="0"/>
              <w:marTop w:val="0"/>
              <w:marBottom w:val="0"/>
              <w:divBdr>
                <w:top w:val="none" w:sz="0" w:space="0" w:color="auto"/>
                <w:left w:val="none" w:sz="0" w:space="0" w:color="auto"/>
                <w:bottom w:val="none" w:sz="0" w:space="0" w:color="auto"/>
                <w:right w:val="none" w:sz="0" w:space="0" w:color="auto"/>
              </w:divBdr>
              <w:divsChild>
                <w:div w:id="539512980">
                  <w:marLeft w:val="0"/>
                  <w:marRight w:val="0"/>
                  <w:marTop w:val="0"/>
                  <w:marBottom w:val="0"/>
                  <w:divBdr>
                    <w:top w:val="none" w:sz="0" w:space="0" w:color="auto"/>
                    <w:left w:val="none" w:sz="0" w:space="0" w:color="auto"/>
                    <w:bottom w:val="none" w:sz="0" w:space="0" w:color="auto"/>
                    <w:right w:val="none" w:sz="0" w:space="0" w:color="auto"/>
                  </w:divBdr>
                  <w:divsChild>
                    <w:div w:id="1626502924">
                      <w:marLeft w:val="0"/>
                      <w:marRight w:val="0"/>
                      <w:marTop w:val="0"/>
                      <w:marBottom w:val="0"/>
                      <w:divBdr>
                        <w:top w:val="none" w:sz="0" w:space="0" w:color="auto"/>
                        <w:left w:val="none" w:sz="0" w:space="0" w:color="auto"/>
                        <w:bottom w:val="none" w:sz="0" w:space="0" w:color="auto"/>
                        <w:right w:val="none" w:sz="0" w:space="0" w:color="auto"/>
                      </w:divBdr>
                      <w:divsChild>
                        <w:div w:id="811168024">
                          <w:marLeft w:val="0"/>
                          <w:marRight w:val="0"/>
                          <w:marTop w:val="0"/>
                          <w:marBottom w:val="0"/>
                          <w:divBdr>
                            <w:top w:val="none" w:sz="0" w:space="0" w:color="auto"/>
                            <w:left w:val="none" w:sz="0" w:space="0" w:color="auto"/>
                            <w:bottom w:val="none" w:sz="0" w:space="0" w:color="auto"/>
                            <w:right w:val="none" w:sz="0" w:space="0" w:color="auto"/>
                          </w:divBdr>
                          <w:divsChild>
                            <w:div w:id="93313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32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ndustry.gov.au/"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ndustry.gov.au/resource/UpstreamPetroleum/OffshorePetroleumRegulatoryRegime/Pages/OffshorePetroleumLegislationRegulationandGuidelines.aspx"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nopta.gov.au/media/activities-report/index.html" TargetMode="External"/><Relationship Id="rId13" Type="http://schemas.openxmlformats.org/officeDocument/2006/relationships/hyperlink" Target="http://www.industry.gov.au/resource/UpstreamPetroleum/Pages/Offshore-Petroleum-Resources-Management-Review.aspx" TargetMode="External"/><Relationship Id="rId3" Type="http://schemas.openxmlformats.org/officeDocument/2006/relationships/hyperlink" Target="http://industry.gov.au/resource/UpstreamPetroleum/MontaraInquiryResponse/Pages/default.aspx" TargetMode="External"/><Relationship Id="rId7" Type="http://schemas.openxmlformats.org/officeDocument/2006/relationships/hyperlink" Target="https://www.cuttingredtape.gov.au/resources/rpf" TargetMode="External"/><Relationship Id="rId12" Type="http://schemas.openxmlformats.org/officeDocument/2006/relationships/hyperlink" Target="http://www.nopta.gov.au/compliance/index.html" TargetMode="External"/><Relationship Id="rId2" Type="http://schemas.openxmlformats.org/officeDocument/2006/relationships/hyperlink" Target="http://www.pc.gov.au/inquiries/completed/upstream-petroleum/report" TargetMode="External"/><Relationship Id="rId1" Type="http://schemas.openxmlformats.org/officeDocument/2006/relationships/hyperlink" Target="http://industry.gov.au/resource/UpstreamPetroleum/OffshorePetroleumRegulatoryRegime/Pages/default.aspx" TargetMode="External"/><Relationship Id="rId6" Type="http://schemas.openxmlformats.org/officeDocument/2006/relationships/hyperlink" Target="http://www.nopta.gov.au/media/operational-review/index.html" TargetMode="External"/><Relationship Id="rId11" Type="http://schemas.openxmlformats.org/officeDocument/2006/relationships/hyperlink" Target="http://www.nopta.gov.au/" TargetMode="External"/><Relationship Id="rId5" Type="http://schemas.openxmlformats.org/officeDocument/2006/relationships/hyperlink" Target="http://www.nopta.gov.au/media/stakeholder-survey/index.html" TargetMode="External"/><Relationship Id="rId10" Type="http://schemas.openxmlformats.org/officeDocument/2006/relationships/hyperlink" Target="http://www.nopta.gov.au/forms/templates.html" TargetMode="External"/><Relationship Id="rId4" Type="http://schemas.openxmlformats.org/officeDocument/2006/relationships/hyperlink" Target="http://www.nopta.gov.au/media/stakeholder-survey/index.html" TargetMode="External"/><Relationship Id="rId9" Type="http://schemas.openxmlformats.org/officeDocument/2006/relationships/hyperlink" Target="http://www.nopta.gov.au/media/stakeholder-survey/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8C2DC-38B2-4058-9795-E71C462DA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8726</Words>
  <Characters>49739</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NOPTA 2015-16 self assessment against the Regulator Performance Framework</vt:lpstr>
    </vt:vector>
  </TitlesOfParts>
  <Company/>
  <LinksUpToDate>false</LinksUpToDate>
  <CharactersWithSpaces>58349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NOPTA 2015-16 self assessment against the Regulator Performance Framework</dc:title>
  <dc:subject>NOPTA 2015-16 self assessment</dc:subject>
  <dc:creator/>
  <cp:keywords>nopta self assessment; regulator performance framework; </cp:keywords>
  <dc:description/>
  <cp:lastModifiedBy/>
  <cp:revision>1</cp:revision>
  <dcterms:created xsi:type="dcterms:W3CDTF">2017-05-10T00:37:00Z</dcterms:created>
  <dcterms:modified xsi:type="dcterms:W3CDTF">2017-05-10T00:45:00Z</dcterms:modified>
</cp:coreProperties>
</file>